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AAFE1B0" w14:textId="77777777" w:rsidR="007A3754" w:rsidRDefault="00000000">
      <w:pPr>
        <w:spacing w:after="40"/>
      </w:pPr>
      <w:r>
        <w:rPr>
          <w:b/>
          <w:bCs/>
          <w:caps/>
          <w:color w:val="555555"/>
          <w:sz w:val="18"/>
          <w:szCs w:val="18"/>
        </w:rPr>
        <w:t>STANDARD OPERATING PROCEDURE</w:t>
      </w:r>
    </w:p>
    <w:p w14:paraId="6871DE59" w14:textId="77777777" w:rsidR="007A3754" w:rsidRDefault="00000000">
      <w:pPr>
        <w:spacing w:after="40"/>
      </w:pPr>
      <w:r>
        <w:rPr>
          <w:b/>
          <w:bCs/>
          <w:color w:val="14202B"/>
          <w:sz w:val="34"/>
          <w:szCs w:val="34"/>
        </w:rPr>
        <w:t xml:space="preserve">Validation and benchmarking of the </w:t>
      </w:r>
      <w:proofErr w:type="spellStart"/>
      <w:r>
        <w:rPr>
          <w:b/>
          <w:bCs/>
          <w:color w:val="14202B"/>
          <w:sz w:val="34"/>
          <w:szCs w:val="34"/>
        </w:rPr>
        <w:t>neurodigineration</w:t>
      </w:r>
      <w:proofErr w:type="spellEnd"/>
      <w:r>
        <w:rPr>
          <w:b/>
          <w:bCs/>
          <w:color w:val="14202B"/>
          <w:sz w:val="34"/>
          <w:szCs w:val="34"/>
        </w:rPr>
        <w:t xml:space="preserve"> gene-brief model</w:t>
      </w:r>
    </w:p>
    <w:p w14:paraId="736BEC1F" w14:textId="77777777" w:rsidR="007A3754" w:rsidRDefault="00000000">
      <w:pPr>
        <w:spacing w:after="160"/>
      </w:pPr>
      <w:r>
        <w:rPr>
          <w:i/>
          <w:iCs/>
          <w:color w:val="555555"/>
          <w:sz w:val="22"/>
          <w:szCs w:val="22"/>
        </w:rPr>
        <w:t>A protocol for evaluating an AI system that composes gene briefs from public bioinformatics sources and learns from expert preference data.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00"/>
        <w:gridCol w:w="2380"/>
        <w:gridCol w:w="2300"/>
        <w:gridCol w:w="2380"/>
      </w:tblGrid>
      <w:tr w:rsidR="007A3754" w14:paraId="07B86F88" w14:textId="77777777">
        <w:tblPrEx>
          <w:tblCellMar>
            <w:top w:w="0" w:type="dxa"/>
            <w:bottom w:w="0" w:type="dxa"/>
          </w:tblCellMar>
        </w:tblPrEx>
        <w:tc>
          <w:tcPr>
            <w:tcW w:w="2300" w:type="dxa"/>
            <w:tcBorders>
              <w:top w:val="single" w:sz="4" w:space="0" w:color="C9D2DB"/>
              <w:left w:val="single" w:sz="4" w:space="0" w:color="C9D2DB"/>
              <w:bottom w:val="single" w:sz="4" w:space="0" w:color="C9D2DB"/>
              <w:right w:val="single" w:sz="4" w:space="0" w:color="C9D2DB"/>
            </w:tcBorders>
            <w:shd w:val="clear" w:color="auto" w:fill="F2F6F9"/>
            <w:tcMar>
              <w:top w:w="70" w:type="dxa"/>
              <w:left w:w="120" w:type="dxa"/>
              <w:bottom w:w="70" w:type="dxa"/>
              <w:right w:w="120" w:type="dxa"/>
            </w:tcMar>
          </w:tcPr>
          <w:p w14:paraId="0E4E61C4" w14:textId="77777777" w:rsidR="007A3754" w:rsidRDefault="00000000">
            <w:pPr>
              <w:spacing w:line="264" w:lineRule="auto"/>
            </w:pPr>
            <w:r>
              <w:rPr>
                <w:b/>
                <w:bCs/>
              </w:rPr>
              <w:t>Protocol ID</w:t>
            </w:r>
          </w:p>
        </w:tc>
        <w:tc>
          <w:tcPr>
            <w:tcW w:w="2380" w:type="dxa"/>
            <w:tcBorders>
              <w:top w:val="single" w:sz="4" w:space="0" w:color="C9D2DB"/>
              <w:left w:val="single" w:sz="4" w:space="0" w:color="C9D2DB"/>
              <w:bottom w:val="single" w:sz="4" w:space="0" w:color="C9D2DB"/>
              <w:right w:val="single" w:sz="4" w:space="0" w:color="C9D2DB"/>
            </w:tcBorders>
            <w:shd w:val="clear" w:color="auto" w:fill="FFFFFF"/>
            <w:tcMar>
              <w:top w:w="70" w:type="dxa"/>
              <w:left w:w="120" w:type="dxa"/>
              <w:bottom w:w="70" w:type="dxa"/>
              <w:right w:w="120" w:type="dxa"/>
            </w:tcMar>
          </w:tcPr>
          <w:p w14:paraId="70096375" w14:textId="77777777" w:rsidR="007A3754" w:rsidRDefault="00000000">
            <w:pPr>
              <w:spacing w:line="264" w:lineRule="auto"/>
            </w:pPr>
            <w:r>
              <w:rPr>
                <w:rFonts w:ascii="Consolas" w:eastAsia="Consolas" w:hAnsi="Consolas" w:cs="Consolas"/>
                <w:sz w:val="20"/>
                <w:szCs w:val="20"/>
              </w:rPr>
              <w:t>ND-VAL-001</w:t>
            </w:r>
          </w:p>
        </w:tc>
        <w:tc>
          <w:tcPr>
            <w:tcW w:w="2300" w:type="dxa"/>
            <w:tcBorders>
              <w:top w:val="single" w:sz="4" w:space="0" w:color="C9D2DB"/>
              <w:left w:val="single" w:sz="4" w:space="0" w:color="C9D2DB"/>
              <w:bottom w:val="single" w:sz="4" w:space="0" w:color="C9D2DB"/>
              <w:right w:val="single" w:sz="4" w:space="0" w:color="C9D2DB"/>
            </w:tcBorders>
            <w:shd w:val="clear" w:color="auto" w:fill="F2F6F9"/>
            <w:tcMar>
              <w:top w:w="70" w:type="dxa"/>
              <w:left w:w="120" w:type="dxa"/>
              <w:bottom w:w="70" w:type="dxa"/>
              <w:right w:w="120" w:type="dxa"/>
            </w:tcMar>
          </w:tcPr>
          <w:p w14:paraId="333975BE" w14:textId="77777777" w:rsidR="007A3754" w:rsidRDefault="00000000">
            <w:pPr>
              <w:spacing w:line="264" w:lineRule="auto"/>
            </w:pPr>
            <w:r>
              <w:rPr>
                <w:b/>
                <w:bCs/>
              </w:rPr>
              <w:t>Version</w:t>
            </w:r>
          </w:p>
        </w:tc>
        <w:tc>
          <w:tcPr>
            <w:tcW w:w="2380" w:type="dxa"/>
            <w:tcBorders>
              <w:top w:val="single" w:sz="4" w:space="0" w:color="C9D2DB"/>
              <w:left w:val="single" w:sz="4" w:space="0" w:color="C9D2DB"/>
              <w:bottom w:val="single" w:sz="4" w:space="0" w:color="C9D2DB"/>
              <w:right w:val="single" w:sz="4" w:space="0" w:color="C9D2DB"/>
            </w:tcBorders>
            <w:shd w:val="clear" w:color="auto" w:fill="FFFFFF"/>
            <w:tcMar>
              <w:top w:w="70" w:type="dxa"/>
              <w:left w:w="120" w:type="dxa"/>
              <w:bottom w:w="70" w:type="dxa"/>
              <w:right w:w="120" w:type="dxa"/>
            </w:tcMar>
          </w:tcPr>
          <w:p w14:paraId="3E66C5A0" w14:textId="23057757" w:rsidR="007A3754" w:rsidRDefault="00000000">
            <w:pPr>
              <w:spacing w:line="264" w:lineRule="auto"/>
            </w:pPr>
            <w:r>
              <w:rPr>
                <w:rFonts w:ascii="Consolas" w:eastAsia="Consolas" w:hAnsi="Consolas" w:cs="Consolas"/>
                <w:sz w:val="20"/>
                <w:szCs w:val="20"/>
              </w:rPr>
              <w:t>1.</w:t>
            </w:r>
            <w:r w:rsidR="007A56F7">
              <w:rPr>
                <w:rFonts w:ascii="Consolas" w:eastAsia="Consolas" w:hAnsi="Consolas" w:cs="Consolas"/>
                <w:sz w:val="20"/>
                <w:szCs w:val="20"/>
              </w:rPr>
              <w:t>5</w:t>
            </w:r>
          </w:p>
        </w:tc>
      </w:tr>
      <w:tr w:rsidR="007A3754" w14:paraId="246E8B5A" w14:textId="77777777">
        <w:tblPrEx>
          <w:tblCellMar>
            <w:top w:w="0" w:type="dxa"/>
            <w:bottom w:w="0" w:type="dxa"/>
          </w:tblCellMar>
        </w:tblPrEx>
        <w:tc>
          <w:tcPr>
            <w:tcW w:w="2300" w:type="dxa"/>
            <w:tcBorders>
              <w:top w:val="single" w:sz="4" w:space="0" w:color="C9D2DB"/>
              <w:left w:val="single" w:sz="4" w:space="0" w:color="C9D2DB"/>
              <w:bottom w:val="single" w:sz="4" w:space="0" w:color="C9D2DB"/>
              <w:right w:val="single" w:sz="4" w:space="0" w:color="C9D2DB"/>
            </w:tcBorders>
            <w:shd w:val="clear" w:color="auto" w:fill="F2F6F9"/>
            <w:tcMar>
              <w:top w:w="70" w:type="dxa"/>
              <w:left w:w="120" w:type="dxa"/>
              <w:bottom w:w="70" w:type="dxa"/>
              <w:right w:w="120" w:type="dxa"/>
            </w:tcMar>
          </w:tcPr>
          <w:p w14:paraId="499B772B" w14:textId="77777777" w:rsidR="007A3754" w:rsidRDefault="00000000">
            <w:pPr>
              <w:spacing w:line="264" w:lineRule="auto"/>
            </w:pPr>
            <w:r>
              <w:rPr>
                <w:b/>
                <w:bCs/>
              </w:rPr>
              <w:t>Effective date</w:t>
            </w:r>
          </w:p>
        </w:tc>
        <w:tc>
          <w:tcPr>
            <w:tcW w:w="2380" w:type="dxa"/>
            <w:tcBorders>
              <w:top w:val="single" w:sz="4" w:space="0" w:color="C9D2DB"/>
              <w:left w:val="single" w:sz="4" w:space="0" w:color="C9D2DB"/>
              <w:bottom w:val="single" w:sz="4" w:space="0" w:color="C9D2DB"/>
              <w:right w:val="single" w:sz="4" w:space="0" w:color="C9D2DB"/>
            </w:tcBorders>
            <w:shd w:val="clear" w:color="auto" w:fill="FFFFFF"/>
            <w:tcMar>
              <w:top w:w="70" w:type="dxa"/>
              <w:left w:w="120" w:type="dxa"/>
              <w:bottom w:w="70" w:type="dxa"/>
              <w:right w:w="120" w:type="dxa"/>
            </w:tcMar>
          </w:tcPr>
          <w:p w14:paraId="6C378063" w14:textId="196E8ED8" w:rsidR="007A3754" w:rsidRDefault="00000000">
            <w:pPr>
              <w:spacing w:line="264" w:lineRule="auto"/>
            </w:pPr>
            <w:r>
              <w:t>2</w:t>
            </w:r>
            <w:r w:rsidR="007A56F7">
              <w:t>2</w:t>
            </w:r>
            <w:r>
              <w:t xml:space="preserve"> June 2026</w:t>
            </w:r>
          </w:p>
        </w:tc>
        <w:tc>
          <w:tcPr>
            <w:tcW w:w="2300" w:type="dxa"/>
            <w:tcBorders>
              <w:top w:val="single" w:sz="4" w:space="0" w:color="C9D2DB"/>
              <w:left w:val="single" w:sz="4" w:space="0" w:color="C9D2DB"/>
              <w:bottom w:val="single" w:sz="4" w:space="0" w:color="C9D2DB"/>
              <w:right w:val="single" w:sz="4" w:space="0" w:color="C9D2DB"/>
            </w:tcBorders>
            <w:shd w:val="clear" w:color="auto" w:fill="F2F6F9"/>
            <w:tcMar>
              <w:top w:w="70" w:type="dxa"/>
              <w:left w:w="120" w:type="dxa"/>
              <w:bottom w:w="70" w:type="dxa"/>
              <w:right w:w="120" w:type="dxa"/>
            </w:tcMar>
          </w:tcPr>
          <w:p w14:paraId="28455904" w14:textId="77777777" w:rsidR="007A3754" w:rsidRDefault="00000000">
            <w:pPr>
              <w:spacing w:line="264" w:lineRule="auto"/>
            </w:pPr>
            <w:r>
              <w:rPr>
                <w:b/>
                <w:bCs/>
              </w:rPr>
              <w:t>Status</w:t>
            </w:r>
          </w:p>
        </w:tc>
        <w:tc>
          <w:tcPr>
            <w:tcW w:w="2380" w:type="dxa"/>
            <w:tcBorders>
              <w:top w:val="single" w:sz="4" w:space="0" w:color="C9D2DB"/>
              <w:left w:val="single" w:sz="4" w:space="0" w:color="C9D2DB"/>
              <w:bottom w:val="single" w:sz="4" w:space="0" w:color="C9D2DB"/>
              <w:right w:val="single" w:sz="4" w:space="0" w:color="C9D2DB"/>
            </w:tcBorders>
            <w:shd w:val="clear" w:color="auto" w:fill="FFFFFF"/>
            <w:tcMar>
              <w:top w:w="70" w:type="dxa"/>
              <w:left w:w="120" w:type="dxa"/>
              <w:bottom w:w="70" w:type="dxa"/>
              <w:right w:w="120" w:type="dxa"/>
            </w:tcMar>
          </w:tcPr>
          <w:p w14:paraId="0774BC75" w14:textId="77777777" w:rsidR="007A3754" w:rsidRDefault="00000000">
            <w:pPr>
              <w:spacing w:line="264" w:lineRule="auto"/>
            </w:pPr>
            <w:r>
              <w:t>Draft for review</w:t>
            </w:r>
          </w:p>
        </w:tc>
      </w:tr>
      <w:tr w:rsidR="007A3754" w14:paraId="251FEF2B" w14:textId="77777777">
        <w:tblPrEx>
          <w:tblCellMar>
            <w:top w:w="0" w:type="dxa"/>
            <w:bottom w:w="0" w:type="dxa"/>
          </w:tblCellMar>
        </w:tblPrEx>
        <w:tc>
          <w:tcPr>
            <w:tcW w:w="2300" w:type="dxa"/>
            <w:tcBorders>
              <w:top w:val="single" w:sz="4" w:space="0" w:color="C9D2DB"/>
              <w:left w:val="single" w:sz="4" w:space="0" w:color="C9D2DB"/>
              <w:bottom w:val="single" w:sz="4" w:space="0" w:color="C9D2DB"/>
              <w:right w:val="single" w:sz="4" w:space="0" w:color="C9D2DB"/>
            </w:tcBorders>
            <w:shd w:val="clear" w:color="auto" w:fill="F2F6F9"/>
            <w:tcMar>
              <w:top w:w="70" w:type="dxa"/>
              <w:left w:w="120" w:type="dxa"/>
              <w:bottom w:w="70" w:type="dxa"/>
              <w:right w:w="120" w:type="dxa"/>
            </w:tcMar>
          </w:tcPr>
          <w:p w14:paraId="3FE4D409" w14:textId="77777777" w:rsidR="007A3754" w:rsidRDefault="00000000">
            <w:pPr>
              <w:spacing w:line="264" w:lineRule="auto"/>
            </w:pPr>
            <w:r>
              <w:rPr>
                <w:b/>
                <w:bCs/>
              </w:rPr>
              <w:t>Author</w:t>
            </w:r>
          </w:p>
        </w:tc>
        <w:tc>
          <w:tcPr>
            <w:tcW w:w="2380" w:type="dxa"/>
            <w:tcBorders>
              <w:top w:val="single" w:sz="4" w:space="0" w:color="C9D2DB"/>
              <w:left w:val="single" w:sz="4" w:space="0" w:color="C9D2DB"/>
              <w:bottom w:val="single" w:sz="4" w:space="0" w:color="C9D2DB"/>
              <w:right w:val="single" w:sz="4" w:space="0" w:color="C9D2DB"/>
            </w:tcBorders>
            <w:shd w:val="clear" w:color="auto" w:fill="FFFFFF"/>
            <w:tcMar>
              <w:top w:w="70" w:type="dxa"/>
              <w:left w:w="120" w:type="dxa"/>
              <w:bottom w:w="70" w:type="dxa"/>
              <w:right w:w="120" w:type="dxa"/>
            </w:tcMar>
          </w:tcPr>
          <w:p w14:paraId="48A73D07" w14:textId="77777777" w:rsidR="007A3754" w:rsidRDefault="00000000">
            <w:pPr>
              <w:spacing w:line="264" w:lineRule="auto"/>
            </w:pPr>
            <w:r>
              <w:t>Armin Bayati</w:t>
            </w:r>
          </w:p>
        </w:tc>
        <w:tc>
          <w:tcPr>
            <w:tcW w:w="2300" w:type="dxa"/>
            <w:tcBorders>
              <w:top w:val="single" w:sz="4" w:space="0" w:color="C9D2DB"/>
              <w:left w:val="single" w:sz="4" w:space="0" w:color="C9D2DB"/>
              <w:bottom w:val="single" w:sz="4" w:space="0" w:color="C9D2DB"/>
              <w:right w:val="single" w:sz="4" w:space="0" w:color="C9D2DB"/>
            </w:tcBorders>
            <w:shd w:val="clear" w:color="auto" w:fill="F2F6F9"/>
            <w:tcMar>
              <w:top w:w="70" w:type="dxa"/>
              <w:left w:w="120" w:type="dxa"/>
              <w:bottom w:w="70" w:type="dxa"/>
              <w:right w:w="120" w:type="dxa"/>
            </w:tcMar>
          </w:tcPr>
          <w:p w14:paraId="52DD14A0" w14:textId="77777777" w:rsidR="007A3754" w:rsidRDefault="00000000">
            <w:pPr>
              <w:spacing w:line="264" w:lineRule="auto"/>
            </w:pPr>
            <w:r>
              <w:rPr>
                <w:b/>
                <w:bCs/>
              </w:rPr>
              <w:t>Review cycle</w:t>
            </w:r>
          </w:p>
        </w:tc>
        <w:tc>
          <w:tcPr>
            <w:tcW w:w="2380" w:type="dxa"/>
            <w:tcBorders>
              <w:top w:val="single" w:sz="4" w:space="0" w:color="C9D2DB"/>
              <w:left w:val="single" w:sz="4" w:space="0" w:color="C9D2DB"/>
              <w:bottom w:val="single" w:sz="4" w:space="0" w:color="C9D2DB"/>
              <w:right w:val="single" w:sz="4" w:space="0" w:color="C9D2DB"/>
            </w:tcBorders>
            <w:shd w:val="clear" w:color="auto" w:fill="FFFFFF"/>
            <w:tcMar>
              <w:top w:w="70" w:type="dxa"/>
              <w:left w:w="120" w:type="dxa"/>
              <w:bottom w:w="70" w:type="dxa"/>
              <w:right w:w="120" w:type="dxa"/>
            </w:tcMar>
          </w:tcPr>
          <w:p w14:paraId="066D2B39" w14:textId="77777777" w:rsidR="007A3754" w:rsidRDefault="00000000">
            <w:pPr>
              <w:spacing w:line="264" w:lineRule="auto"/>
            </w:pPr>
            <w:r>
              <w:t>Per model-version bump</w:t>
            </w:r>
          </w:p>
        </w:tc>
      </w:tr>
    </w:tbl>
    <w:p w14:paraId="552706B5" w14:textId="77777777" w:rsidR="007A3754" w:rsidRDefault="00000000">
      <w:pPr>
        <w:spacing w:after="180"/>
      </w:pPr>
      <w:r>
        <w:t xml:space="preserve"> </w:t>
      </w:r>
    </w:p>
    <w:p w14:paraId="55392F89" w14:textId="77777777" w:rsidR="007A3754" w:rsidRDefault="00000000">
      <w:pPr>
        <w:pStyle w:val="Heading1"/>
      </w:pPr>
      <w:r>
        <w:t>1   Purpose</w:t>
      </w:r>
    </w:p>
    <w:p w14:paraId="0DE1762F" w14:textId="77777777" w:rsidR="007A3754" w:rsidRDefault="00000000">
      <w:pPr>
        <w:spacing w:after="140" w:line="272" w:lineRule="auto"/>
      </w:pPr>
      <w:r>
        <w:t xml:space="preserve">This protocol defines how we decide whether the </w:t>
      </w:r>
      <w:proofErr w:type="spellStart"/>
      <w:r>
        <w:t>neurodigineration</w:t>
      </w:r>
      <w:proofErr w:type="spellEnd"/>
      <w:r>
        <w:t xml:space="preserve"> gene-brief model is fit for use. The system composes a research brief for any human gene from four public sources (</w:t>
      </w:r>
      <w:proofErr w:type="spellStart"/>
      <w:r>
        <w:t>UniProt</w:t>
      </w:r>
      <w:proofErr w:type="spellEnd"/>
      <w:r>
        <w:t xml:space="preserve">, NCBI, </w:t>
      </w:r>
      <w:proofErr w:type="spellStart"/>
      <w:r>
        <w:t>Ensembl</w:t>
      </w:r>
      <w:proofErr w:type="spellEnd"/>
      <w:r>
        <w:t xml:space="preserve">, </w:t>
      </w:r>
      <w:proofErr w:type="spellStart"/>
      <w:r>
        <w:t>Reactome</w:t>
      </w:r>
      <w:proofErr w:type="spellEnd"/>
      <w:r>
        <w:t xml:space="preserve">) and is refined through a human-in-the-loop preference loop. The goal here is to replace the soft bar of </w:t>
      </w:r>
      <w:r>
        <w:rPr>
          <w:i/>
          <w:iCs/>
        </w:rPr>
        <w:t>“it produced something plausible”</w:t>
      </w:r>
      <w:r>
        <w:t xml:space="preserve"> with explicit, repeatable checks at three levels: that the right records are retrieved, that the agent reasons defensibly, and (the part that matters most) that the scientific content is correct, complete, and properly cited.</w:t>
      </w:r>
    </w:p>
    <w:p w14:paraId="1D7FB3A1" w14:textId="77777777" w:rsidR="007A3754" w:rsidRDefault="00000000">
      <w:pPr>
        <w:pStyle w:val="Heading1"/>
      </w:pPr>
      <w:r>
        <w:t>2   Scope</w:t>
      </w:r>
    </w:p>
    <w:p w14:paraId="471AF710" w14:textId="77777777" w:rsidR="007A3754" w:rsidRDefault="00000000">
      <w:pPr>
        <w:spacing w:after="140" w:line="272" w:lineRule="auto"/>
      </w:pPr>
      <w:r>
        <w:rPr>
          <w:b/>
          <w:bCs/>
        </w:rPr>
        <w:t xml:space="preserve">In scope. </w:t>
      </w:r>
      <w:r>
        <w:t>The gene-brief generator, the cross-disease network, and the trainable gene panel that backs it. As of this version the network carries 311 gene/protein nodes and 474 edges across 11 disease groups, and the node set is one-to-one with the trainable panel, so any node in the graph is also a unit that can be trained and tested.</w:t>
      </w:r>
    </w:p>
    <w:p w14:paraId="7084F6E7" w14:textId="77777777" w:rsidR="007A3754" w:rsidRDefault="00000000">
      <w:pPr>
        <w:spacing w:after="140" w:line="272" w:lineRule="auto"/>
      </w:pPr>
      <w:r>
        <w:rPr>
          <w:b/>
          <w:bCs/>
        </w:rPr>
        <w:t xml:space="preserve">Out of scope. </w:t>
      </w:r>
      <w:r>
        <w:t>Model training mechanics (covered in the training-mode documentation), infrastructure, and any clinical or diagnostic use. Outputs are research aids, not medical advice.</w:t>
      </w:r>
    </w:p>
    <w:p w14:paraId="3800F0CF" w14:textId="77777777" w:rsidR="007A3754" w:rsidRDefault="00000000">
      <w:pPr>
        <w:pStyle w:val="Heading1"/>
      </w:pPr>
      <w:r>
        <w:t>3   Definitions and abbreviations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00"/>
        <w:gridCol w:w="7060"/>
      </w:tblGrid>
      <w:tr w:rsidR="007A3754" w14:paraId="02B41198" w14:textId="77777777">
        <w:tblPrEx>
          <w:tblCellMar>
            <w:top w:w="0" w:type="dxa"/>
            <w:bottom w:w="0" w:type="dxa"/>
          </w:tblCellMar>
        </w:tblPrEx>
        <w:tc>
          <w:tcPr>
            <w:tcW w:w="2300" w:type="dxa"/>
            <w:tcBorders>
              <w:top w:val="single" w:sz="4" w:space="0" w:color="C9D2DB"/>
              <w:left w:val="single" w:sz="4" w:space="0" w:color="C9D2DB"/>
              <w:bottom w:val="single" w:sz="4" w:space="0" w:color="C9D2DB"/>
              <w:right w:val="single" w:sz="4" w:space="0" w:color="C9D2DB"/>
            </w:tcBorders>
            <w:shd w:val="clear" w:color="auto" w:fill="0B3B5A"/>
            <w:tcMar>
              <w:top w:w="70" w:type="dxa"/>
              <w:left w:w="120" w:type="dxa"/>
              <w:bottom w:w="70" w:type="dxa"/>
              <w:right w:w="120" w:type="dxa"/>
            </w:tcMar>
          </w:tcPr>
          <w:p w14:paraId="1722F677" w14:textId="77777777" w:rsidR="007A3754" w:rsidRDefault="00000000">
            <w:pPr>
              <w:spacing w:line="264" w:lineRule="auto"/>
            </w:pPr>
            <w:r>
              <w:rPr>
                <w:b/>
                <w:bCs/>
                <w:color w:val="FFFFFF"/>
              </w:rPr>
              <w:t>Term</w:t>
            </w:r>
          </w:p>
        </w:tc>
        <w:tc>
          <w:tcPr>
            <w:tcW w:w="7060" w:type="dxa"/>
            <w:tcBorders>
              <w:top w:val="single" w:sz="4" w:space="0" w:color="C9D2DB"/>
              <w:left w:val="single" w:sz="4" w:space="0" w:color="C9D2DB"/>
              <w:bottom w:val="single" w:sz="4" w:space="0" w:color="C9D2DB"/>
              <w:right w:val="single" w:sz="4" w:space="0" w:color="C9D2DB"/>
            </w:tcBorders>
            <w:shd w:val="clear" w:color="auto" w:fill="0B3B5A"/>
            <w:tcMar>
              <w:top w:w="70" w:type="dxa"/>
              <w:left w:w="120" w:type="dxa"/>
              <w:bottom w:w="70" w:type="dxa"/>
              <w:right w:w="120" w:type="dxa"/>
            </w:tcMar>
          </w:tcPr>
          <w:p w14:paraId="3355EEBA" w14:textId="77777777" w:rsidR="007A3754" w:rsidRDefault="00000000">
            <w:pPr>
              <w:spacing w:line="264" w:lineRule="auto"/>
            </w:pPr>
            <w:r>
              <w:rPr>
                <w:b/>
                <w:bCs/>
                <w:color w:val="FFFFFF"/>
              </w:rPr>
              <w:t>Definition</w:t>
            </w:r>
          </w:p>
        </w:tc>
      </w:tr>
      <w:tr w:rsidR="007A3754" w14:paraId="07A296F5" w14:textId="77777777">
        <w:tblPrEx>
          <w:tblCellMar>
            <w:top w:w="0" w:type="dxa"/>
            <w:bottom w:w="0" w:type="dxa"/>
          </w:tblCellMar>
        </w:tblPrEx>
        <w:tc>
          <w:tcPr>
            <w:tcW w:w="2300" w:type="dxa"/>
            <w:tcBorders>
              <w:top w:val="single" w:sz="4" w:space="0" w:color="C9D2DB"/>
              <w:left w:val="single" w:sz="4" w:space="0" w:color="C9D2DB"/>
              <w:bottom w:val="single" w:sz="4" w:space="0" w:color="C9D2DB"/>
              <w:right w:val="single" w:sz="4" w:space="0" w:color="C9D2DB"/>
            </w:tcBorders>
            <w:shd w:val="clear" w:color="auto" w:fill="FFFFFF"/>
            <w:tcMar>
              <w:top w:w="70" w:type="dxa"/>
              <w:left w:w="120" w:type="dxa"/>
              <w:bottom w:w="70" w:type="dxa"/>
              <w:right w:w="120" w:type="dxa"/>
            </w:tcMar>
          </w:tcPr>
          <w:p w14:paraId="5113944A" w14:textId="77777777" w:rsidR="007A3754" w:rsidRDefault="00000000">
            <w:pPr>
              <w:spacing w:line="264" w:lineRule="auto"/>
            </w:pPr>
            <w:r>
              <w:rPr>
                <w:b/>
                <w:bCs/>
              </w:rPr>
              <w:t>Brief</w:t>
            </w:r>
          </w:p>
        </w:tc>
        <w:tc>
          <w:tcPr>
            <w:tcW w:w="7060" w:type="dxa"/>
            <w:tcBorders>
              <w:top w:val="single" w:sz="4" w:space="0" w:color="C9D2DB"/>
              <w:left w:val="single" w:sz="4" w:space="0" w:color="C9D2DB"/>
              <w:bottom w:val="single" w:sz="4" w:space="0" w:color="C9D2DB"/>
              <w:right w:val="single" w:sz="4" w:space="0" w:color="C9D2DB"/>
            </w:tcBorders>
            <w:shd w:val="clear" w:color="auto" w:fill="FFFFFF"/>
            <w:tcMar>
              <w:top w:w="70" w:type="dxa"/>
              <w:left w:w="120" w:type="dxa"/>
              <w:bottom w:w="70" w:type="dxa"/>
              <w:right w:w="120" w:type="dxa"/>
            </w:tcMar>
          </w:tcPr>
          <w:p w14:paraId="772CAAD5" w14:textId="77777777" w:rsidR="007A3754" w:rsidRDefault="00000000">
            <w:pPr>
              <w:spacing w:line="264" w:lineRule="auto"/>
            </w:pPr>
            <w:r>
              <w:t>A single structured output for one gene: identity, function, pathways, clinical relevance, recent literature, and a short summary.</w:t>
            </w:r>
          </w:p>
        </w:tc>
      </w:tr>
      <w:tr w:rsidR="007A3754" w14:paraId="2C05D42B" w14:textId="77777777">
        <w:tblPrEx>
          <w:tblCellMar>
            <w:top w:w="0" w:type="dxa"/>
            <w:bottom w:w="0" w:type="dxa"/>
          </w:tblCellMar>
        </w:tblPrEx>
        <w:tc>
          <w:tcPr>
            <w:tcW w:w="2300" w:type="dxa"/>
            <w:tcBorders>
              <w:top w:val="single" w:sz="4" w:space="0" w:color="C9D2DB"/>
              <w:left w:val="single" w:sz="4" w:space="0" w:color="C9D2DB"/>
              <w:bottom w:val="single" w:sz="4" w:space="0" w:color="C9D2DB"/>
              <w:right w:val="single" w:sz="4" w:space="0" w:color="C9D2DB"/>
            </w:tcBorders>
            <w:shd w:val="clear" w:color="auto" w:fill="FFFFFF"/>
            <w:tcMar>
              <w:top w:w="70" w:type="dxa"/>
              <w:left w:w="120" w:type="dxa"/>
              <w:bottom w:w="70" w:type="dxa"/>
              <w:right w:w="120" w:type="dxa"/>
            </w:tcMar>
          </w:tcPr>
          <w:p w14:paraId="0385E5F0" w14:textId="77777777" w:rsidR="007A3754" w:rsidRDefault="00000000">
            <w:pPr>
              <w:spacing w:line="264" w:lineRule="auto"/>
            </w:pPr>
            <w:r>
              <w:rPr>
                <w:b/>
                <w:bCs/>
              </w:rPr>
              <w:t>Gold-standard brief</w:t>
            </w:r>
          </w:p>
        </w:tc>
        <w:tc>
          <w:tcPr>
            <w:tcW w:w="7060" w:type="dxa"/>
            <w:tcBorders>
              <w:top w:val="single" w:sz="4" w:space="0" w:color="C9D2DB"/>
              <w:left w:val="single" w:sz="4" w:space="0" w:color="C9D2DB"/>
              <w:bottom w:val="single" w:sz="4" w:space="0" w:color="C9D2DB"/>
              <w:right w:val="single" w:sz="4" w:space="0" w:color="C9D2DB"/>
            </w:tcBorders>
            <w:shd w:val="clear" w:color="auto" w:fill="FFFFFF"/>
            <w:tcMar>
              <w:top w:w="70" w:type="dxa"/>
              <w:left w:w="120" w:type="dxa"/>
              <w:bottom w:w="70" w:type="dxa"/>
              <w:right w:w="120" w:type="dxa"/>
            </w:tcMar>
          </w:tcPr>
          <w:p w14:paraId="42D2CCC1" w14:textId="77777777" w:rsidR="007A3754" w:rsidRDefault="00000000">
            <w:pPr>
              <w:spacing w:line="264" w:lineRule="auto"/>
            </w:pPr>
            <w:r>
              <w:t>An expert-curated reference brief for a known gene that fixes the canonical facts the system is scored against.</w:t>
            </w:r>
          </w:p>
        </w:tc>
      </w:tr>
      <w:tr w:rsidR="007A3754" w14:paraId="1813A022" w14:textId="77777777">
        <w:tblPrEx>
          <w:tblCellMar>
            <w:top w:w="0" w:type="dxa"/>
            <w:bottom w:w="0" w:type="dxa"/>
          </w:tblCellMar>
        </w:tblPrEx>
        <w:tc>
          <w:tcPr>
            <w:tcW w:w="2300" w:type="dxa"/>
            <w:tcBorders>
              <w:top w:val="single" w:sz="4" w:space="0" w:color="C9D2DB"/>
              <w:left w:val="single" w:sz="4" w:space="0" w:color="C9D2DB"/>
              <w:bottom w:val="single" w:sz="4" w:space="0" w:color="C9D2DB"/>
              <w:right w:val="single" w:sz="4" w:space="0" w:color="C9D2DB"/>
            </w:tcBorders>
            <w:shd w:val="clear" w:color="auto" w:fill="FFFFFF"/>
            <w:tcMar>
              <w:top w:w="70" w:type="dxa"/>
              <w:left w:w="120" w:type="dxa"/>
              <w:bottom w:w="70" w:type="dxa"/>
              <w:right w:w="120" w:type="dxa"/>
            </w:tcMar>
          </w:tcPr>
          <w:p w14:paraId="76A9371B" w14:textId="77777777" w:rsidR="007A3754" w:rsidRDefault="00000000">
            <w:pPr>
              <w:spacing w:line="264" w:lineRule="auto"/>
            </w:pPr>
            <w:r>
              <w:rPr>
                <w:b/>
                <w:bCs/>
              </w:rPr>
              <w:t>Trajectory</w:t>
            </w:r>
          </w:p>
        </w:tc>
        <w:tc>
          <w:tcPr>
            <w:tcW w:w="7060" w:type="dxa"/>
            <w:tcBorders>
              <w:top w:val="single" w:sz="4" w:space="0" w:color="C9D2DB"/>
              <w:left w:val="single" w:sz="4" w:space="0" w:color="C9D2DB"/>
              <w:bottom w:val="single" w:sz="4" w:space="0" w:color="C9D2DB"/>
              <w:right w:val="single" w:sz="4" w:space="0" w:color="C9D2DB"/>
            </w:tcBorders>
            <w:shd w:val="clear" w:color="auto" w:fill="FFFFFF"/>
            <w:tcMar>
              <w:top w:w="70" w:type="dxa"/>
              <w:left w:w="120" w:type="dxa"/>
              <w:bottom w:w="70" w:type="dxa"/>
              <w:right w:w="120" w:type="dxa"/>
            </w:tcMar>
          </w:tcPr>
          <w:p w14:paraId="54B3FD92" w14:textId="77777777" w:rsidR="007A3754" w:rsidRDefault="00000000">
            <w:pPr>
              <w:spacing w:line="264" w:lineRule="auto"/>
            </w:pPr>
            <w:r>
              <w:t>The ordered sequence of tool calls the agent makes to resolve a query.</w:t>
            </w:r>
          </w:p>
        </w:tc>
      </w:tr>
      <w:tr w:rsidR="007A3754" w14:paraId="20228CDC" w14:textId="77777777">
        <w:tblPrEx>
          <w:tblCellMar>
            <w:top w:w="0" w:type="dxa"/>
            <w:bottom w:w="0" w:type="dxa"/>
          </w:tblCellMar>
        </w:tblPrEx>
        <w:tc>
          <w:tcPr>
            <w:tcW w:w="2300" w:type="dxa"/>
            <w:tcBorders>
              <w:top w:val="single" w:sz="4" w:space="0" w:color="C9D2DB"/>
              <w:left w:val="single" w:sz="4" w:space="0" w:color="C9D2DB"/>
              <w:bottom w:val="single" w:sz="4" w:space="0" w:color="C9D2DB"/>
              <w:right w:val="single" w:sz="4" w:space="0" w:color="C9D2DB"/>
            </w:tcBorders>
            <w:shd w:val="clear" w:color="auto" w:fill="FFFFFF"/>
            <w:tcMar>
              <w:top w:w="70" w:type="dxa"/>
              <w:left w:w="120" w:type="dxa"/>
              <w:bottom w:w="70" w:type="dxa"/>
              <w:right w:w="120" w:type="dxa"/>
            </w:tcMar>
          </w:tcPr>
          <w:p w14:paraId="43F306E0" w14:textId="77777777" w:rsidR="007A3754" w:rsidRDefault="00000000">
            <w:pPr>
              <w:spacing w:line="264" w:lineRule="auto"/>
            </w:pPr>
            <w:r>
              <w:rPr>
                <w:b/>
                <w:bCs/>
              </w:rPr>
              <w:t>Tentative edge</w:t>
            </w:r>
          </w:p>
        </w:tc>
        <w:tc>
          <w:tcPr>
            <w:tcW w:w="7060" w:type="dxa"/>
            <w:tcBorders>
              <w:top w:val="single" w:sz="4" w:space="0" w:color="C9D2DB"/>
              <w:left w:val="single" w:sz="4" w:space="0" w:color="C9D2DB"/>
              <w:bottom w:val="single" w:sz="4" w:space="0" w:color="C9D2DB"/>
              <w:right w:val="single" w:sz="4" w:space="0" w:color="C9D2DB"/>
            </w:tcBorders>
            <w:shd w:val="clear" w:color="auto" w:fill="FFFFFF"/>
            <w:tcMar>
              <w:top w:w="70" w:type="dxa"/>
              <w:left w:w="120" w:type="dxa"/>
              <w:bottom w:w="70" w:type="dxa"/>
              <w:right w:w="120" w:type="dxa"/>
            </w:tcMar>
          </w:tcPr>
          <w:p w14:paraId="5D5BA700" w14:textId="77777777" w:rsidR="007A3754" w:rsidRDefault="00000000">
            <w:pPr>
              <w:spacing w:line="264" w:lineRule="auto"/>
            </w:pPr>
            <w:r>
              <w:t xml:space="preserve">A proposed gene–gene relationship rendered dotted in the network, flagged </w:t>
            </w:r>
            <w:r>
              <w:rPr>
                <w:rFonts w:ascii="Consolas" w:eastAsia="Consolas" w:hAnsi="Consolas" w:cs="Consolas"/>
                <w:sz w:val="20"/>
                <w:szCs w:val="20"/>
              </w:rPr>
              <w:t>tentative: true</w:t>
            </w:r>
            <w:r>
              <w:t xml:space="preserve"> with an empty </w:t>
            </w:r>
            <w:proofErr w:type="spellStart"/>
            <w:r>
              <w:rPr>
                <w:rFonts w:ascii="Consolas" w:eastAsia="Consolas" w:hAnsi="Consolas" w:cs="Consolas"/>
                <w:sz w:val="20"/>
                <w:szCs w:val="20"/>
              </w:rPr>
              <w:t>pmids</w:t>
            </w:r>
            <w:proofErr w:type="spellEnd"/>
            <w:r>
              <w:rPr>
                <w:rFonts w:ascii="Consolas" w:eastAsia="Consolas" w:hAnsi="Consolas" w:cs="Consolas"/>
                <w:sz w:val="20"/>
                <w:szCs w:val="20"/>
              </w:rPr>
              <w:t>: []</w:t>
            </w:r>
            <w:r>
              <w:t xml:space="preserve"> field, pending expert validation.</w:t>
            </w:r>
          </w:p>
        </w:tc>
      </w:tr>
      <w:tr w:rsidR="007A3754" w14:paraId="60BC517E" w14:textId="77777777">
        <w:tblPrEx>
          <w:tblCellMar>
            <w:top w:w="0" w:type="dxa"/>
            <w:bottom w:w="0" w:type="dxa"/>
          </w:tblCellMar>
        </w:tblPrEx>
        <w:tc>
          <w:tcPr>
            <w:tcW w:w="2300" w:type="dxa"/>
            <w:tcBorders>
              <w:top w:val="single" w:sz="4" w:space="0" w:color="C9D2DB"/>
              <w:left w:val="single" w:sz="4" w:space="0" w:color="C9D2DB"/>
              <w:bottom w:val="single" w:sz="4" w:space="0" w:color="C9D2DB"/>
              <w:right w:val="single" w:sz="4" w:space="0" w:color="C9D2DB"/>
            </w:tcBorders>
            <w:shd w:val="clear" w:color="auto" w:fill="FFFFFF"/>
            <w:tcMar>
              <w:top w:w="70" w:type="dxa"/>
              <w:left w:w="120" w:type="dxa"/>
              <w:bottom w:w="70" w:type="dxa"/>
              <w:right w:w="120" w:type="dxa"/>
            </w:tcMar>
          </w:tcPr>
          <w:p w14:paraId="68828FF0" w14:textId="77777777" w:rsidR="007A3754" w:rsidRDefault="00000000">
            <w:pPr>
              <w:spacing w:line="264" w:lineRule="auto"/>
            </w:pPr>
            <w:r>
              <w:rPr>
                <w:b/>
                <w:bCs/>
              </w:rPr>
              <w:t>Rate-the-edge loop</w:t>
            </w:r>
          </w:p>
        </w:tc>
        <w:tc>
          <w:tcPr>
            <w:tcW w:w="7060" w:type="dxa"/>
            <w:tcBorders>
              <w:top w:val="single" w:sz="4" w:space="0" w:color="C9D2DB"/>
              <w:left w:val="single" w:sz="4" w:space="0" w:color="C9D2DB"/>
              <w:bottom w:val="single" w:sz="4" w:space="0" w:color="C9D2DB"/>
              <w:right w:val="single" w:sz="4" w:space="0" w:color="C9D2DB"/>
            </w:tcBorders>
            <w:shd w:val="clear" w:color="auto" w:fill="FFFFFF"/>
            <w:tcMar>
              <w:top w:w="70" w:type="dxa"/>
              <w:left w:w="120" w:type="dxa"/>
              <w:bottom w:w="70" w:type="dxa"/>
              <w:right w:w="120" w:type="dxa"/>
            </w:tcMar>
          </w:tcPr>
          <w:p w14:paraId="73D8D6FB" w14:textId="77777777" w:rsidR="007A3754" w:rsidRDefault="00000000">
            <w:pPr>
              <w:spacing w:line="264" w:lineRule="auto"/>
            </w:pPr>
            <w:r>
              <w:t xml:space="preserve">The interface in which an </w:t>
            </w:r>
            <w:proofErr w:type="gramStart"/>
            <w:r>
              <w:t>expert rates</w:t>
            </w:r>
            <w:proofErr w:type="gramEnd"/>
            <w:r>
              <w:t xml:space="preserve"> each proposed network edge, generating labeled gene-interaction data over time.</w:t>
            </w:r>
          </w:p>
        </w:tc>
      </w:tr>
      <w:tr w:rsidR="007A3754" w14:paraId="12C66BAA" w14:textId="77777777">
        <w:tblPrEx>
          <w:tblCellMar>
            <w:top w:w="0" w:type="dxa"/>
            <w:bottom w:w="0" w:type="dxa"/>
          </w:tblCellMar>
        </w:tblPrEx>
        <w:tc>
          <w:tcPr>
            <w:tcW w:w="2300" w:type="dxa"/>
            <w:tcBorders>
              <w:top w:val="single" w:sz="4" w:space="0" w:color="C9D2DB"/>
              <w:left w:val="single" w:sz="4" w:space="0" w:color="C9D2DB"/>
              <w:bottom w:val="single" w:sz="4" w:space="0" w:color="C9D2DB"/>
              <w:right w:val="single" w:sz="4" w:space="0" w:color="C9D2DB"/>
            </w:tcBorders>
            <w:shd w:val="clear" w:color="auto" w:fill="FFFFFF"/>
            <w:tcMar>
              <w:top w:w="70" w:type="dxa"/>
              <w:left w:w="120" w:type="dxa"/>
              <w:bottom w:w="70" w:type="dxa"/>
              <w:right w:w="120" w:type="dxa"/>
            </w:tcMar>
          </w:tcPr>
          <w:p w14:paraId="338F47C9" w14:textId="77777777" w:rsidR="007A3754" w:rsidRDefault="00000000">
            <w:pPr>
              <w:spacing w:line="264" w:lineRule="auto"/>
            </w:pPr>
            <w:r>
              <w:rPr>
                <w:b/>
                <w:bCs/>
              </w:rPr>
              <w:lastRenderedPageBreak/>
              <w:t>Appropriate-rejection rate</w:t>
            </w:r>
          </w:p>
        </w:tc>
        <w:tc>
          <w:tcPr>
            <w:tcW w:w="7060" w:type="dxa"/>
            <w:tcBorders>
              <w:top w:val="single" w:sz="4" w:space="0" w:color="C9D2DB"/>
              <w:left w:val="single" w:sz="4" w:space="0" w:color="C9D2DB"/>
              <w:bottom w:val="single" w:sz="4" w:space="0" w:color="C9D2DB"/>
              <w:right w:val="single" w:sz="4" w:space="0" w:color="C9D2DB"/>
            </w:tcBorders>
            <w:shd w:val="clear" w:color="auto" w:fill="FFFFFF"/>
            <w:tcMar>
              <w:top w:w="70" w:type="dxa"/>
              <w:left w:w="120" w:type="dxa"/>
              <w:bottom w:w="70" w:type="dxa"/>
              <w:right w:w="120" w:type="dxa"/>
            </w:tcMar>
          </w:tcPr>
          <w:p w14:paraId="1AC1AAE9" w14:textId="77777777" w:rsidR="007A3754" w:rsidRDefault="00000000">
            <w:pPr>
              <w:spacing w:line="264" w:lineRule="auto"/>
            </w:pPr>
            <w:r>
              <w:t>On adversarial inputs, the fraction of cases where the system flags the problem instead of producing a confident but wrong brief.</w:t>
            </w:r>
          </w:p>
        </w:tc>
      </w:tr>
      <w:tr w:rsidR="007A3754" w14:paraId="589A936E" w14:textId="77777777">
        <w:tblPrEx>
          <w:tblCellMar>
            <w:top w:w="0" w:type="dxa"/>
            <w:bottom w:w="0" w:type="dxa"/>
          </w:tblCellMar>
        </w:tblPrEx>
        <w:tc>
          <w:tcPr>
            <w:tcW w:w="2300" w:type="dxa"/>
            <w:tcBorders>
              <w:top w:val="single" w:sz="4" w:space="0" w:color="C9D2DB"/>
              <w:left w:val="single" w:sz="4" w:space="0" w:color="C9D2DB"/>
              <w:bottom w:val="single" w:sz="4" w:space="0" w:color="C9D2DB"/>
              <w:right w:val="single" w:sz="4" w:space="0" w:color="C9D2DB"/>
            </w:tcBorders>
            <w:shd w:val="clear" w:color="auto" w:fill="FFFFFF"/>
            <w:tcMar>
              <w:top w:w="70" w:type="dxa"/>
              <w:left w:w="120" w:type="dxa"/>
              <w:bottom w:w="70" w:type="dxa"/>
              <w:right w:w="120" w:type="dxa"/>
            </w:tcMar>
          </w:tcPr>
          <w:p w14:paraId="611D0304" w14:textId="77777777" w:rsidR="007A3754" w:rsidRDefault="00000000">
            <w:pPr>
              <w:spacing w:line="264" w:lineRule="auto"/>
            </w:pPr>
            <w:r>
              <w:rPr>
                <w:b/>
                <w:bCs/>
              </w:rPr>
              <w:t>Reliability diagram</w:t>
            </w:r>
          </w:p>
        </w:tc>
        <w:tc>
          <w:tcPr>
            <w:tcW w:w="7060" w:type="dxa"/>
            <w:tcBorders>
              <w:top w:val="single" w:sz="4" w:space="0" w:color="C9D2DB"/>
              <w:left w:val="single" w:sz="4" w:space="0" w:color="C9D2DB"/>
              <w:bottom w:val="single" w:sz="4" w:space="0" w:color="C9D2DB"/>
              <w:right w:val="single" w:sz="4" w:space="0" w:color="C9D2DB"/>
            </w:tcBorders>
            <w:shd w:val="clear" w:color="auto" w:fill="FFFFFF"/>
            <w:tcMar>
              <w:top w:w="70" w:type="dxa"/>
              <w:left w:w="120" w:type="dxa"/>
              <w:bottom w:w="70" w:type="dxa"/>
              <w:right w:w="120" w:type="dxa"/>
            </w:tcMar>
          </w:tcPr>
          <w:p w14:paraId="31099B61" w14:textId="77777777" w:rsidR="007A3754" w:rsidRDefault="00000000">
            <w:pPr>
              <w:spacing w:line="264" w:lineRule="auto"/>
            </w:pPr>
            <w:r>
              <w:t>A calibration plot of stated confidence against measured accuracy.</w:t>
            </w:r>
          </w:p>
        </w:tc>
      </w:tr>
      <w:tr w:rsidR="007A3754" w14:paraId="5DE2330F" w14:textId="77777777">
        <w:tblPrEx>
          <w:tblCellMar>
            <w:top w:w="0" w:type="dxa"/>
            <w:bottom w:w="0" w:type="dxa"/>
          </w:tblCellMar>
        </w:tblPrEx>
        <w:tc>
          <w:tcPr>
            <w:tcW w:w="2300" w:type="dxa"/>
            <w:tcBorders>
              <w:top w:val="single" w:sz="4" w:space="0" w:color="C9D2DB"/>
              <w:left w:val="single" w:sz="4" w:space="0" w:color="C9D2DB"/>
              <w:bottom w:val="single" w:sz="4" w:space="0" w:color="C9D2DB"/>
              <w:right w:val="single" w:sz="4" w:space="0" w:color="C9D2DB"/>
            </w:tcBorders>
            <w:shd w:val="clear" w:color="auto" w:fill="FFFFFF"/>
            <w:tcMar>
              <w:top w:w="70" w:type="dxa"/>
              <w:left w:w="120" w:type="dxa"/>
              <w:bottom w:w="70" w:type="dxa"/>
              <w:right w:w="120" w:type="dxa"/>
            </w:tcMar>
          </w:tcPr>
          <w:p w14:paraId="3D16CFD5" w14:textId="77777777" w:rsidR="007A3754" w:rsidRDefault="00000000">
            <w:pPr>
              <w:spacing w:line="264" w:lineRule="auto"/>
            </w:pPr>
            <w:r>
              <w:rPr>
                <w:b/>
                <w:bCs/>
              </w:rPr>
              <w:t>SME</w:t>
            </w:r>
          </w:p>
        </w:tc>
        <w:tc>
          <w:tcPr>
            <w:tcW w:w="7060" w:type="dxa"/>
            <w:tcBorders>
              <w:top w:val="single" w:sz="4" w:space="0" w:color="C9D2DB"/>
              <w:left w:val="single" w:sz="4" w:space="0" w:color="C9D2DB"/>
              <w:bottom w:val="single" w:sz="4" w:space="0" w:color="C9D2DB"/>
              <w:right w:val="single" w:sz="4" w:space="0" w:color="C9D2DB"/>
            </w:tcBorders>
            <w:shd w:val="clear" w:color="auto" w:fill="FFFFFF"/>
            <w:tcMar>
              <w:top w:w="70" w:type="dxa"/>
              <w:left w:w="120" w:type="dxa"/>
              <w:bottom w:w="70" w:type="dxa"/>
              <w:right w:w="120" w:type="dxa"/>
            </w:tcMar>
          </w:tcPr>
          <w:p w14:paraId="2F2FF54C" w14:textId="77777777" w:rsidR="007A3754" w:rsidRDefault="00000000">
            <w:pPr>
              <w:spacing w:line="264" w:lineRule="auto"/>
            </w:pPr>
            <w:r>
              <w:t>Subject-matter expert performing the scoring.</w:t>
            </w:r>
          </w:p>
        </w:tc>
      </w:tr>
    </w:tbl>
    <w:p w14:paraId="49CDA71B" w14:textId="77777777" w:rsidR="007A3754" w:rsidRDefault="00000000">
      <w:pPr>
        <w:pStyle w:val="Heading1"/>
      </w:pPr>
      <w:r>
        <w:t>4   Materials and prerequisites</w:t>
      </w:r>
    </w:p>
    <w:p w14:paraId="71909CC9" w14:textId="77777777" w:rsidR="007A3754" w:rsidRDefault="00000000">
      <w:pPr>
        <w:pStyle w:val="Heading2"/>
      </w:pPr>
      <w:r>
        <w:t>4.1   Gold-standard reference set</w:t>
      </w:r>
    </w:p>
    <w:p w14:paraId="53DBAD06" w14:textId="77777777" w:rsidR="007A3754" w:rsidRDefault="00000000">
      <w:pPr>
        <w:spacing w:after="140" w:line="272" w:lineRule="auto"/>
      </w:pPr>
      <w:r>
        <w:t>Roughly 30 well-characterized genes with expert-curated reference briefs, spanning the main disease areas plus a non-neurological control set:</w:t>
      </w:r>
    </w:p>
    <w:p w14:paraId="2D89AF80" w14:textId="77777777" w:rsidR="007A3754" w:rsidRDefault="00000000">
      <w:pPr>
        <w:pStyle w:val="ListParagraph"/>
        <w:numPr>
          <w:ilvl w:val="0"/>
          <w:numId w:val="2"/>
        </w:numPr>
        <w:spacing w:after="80" w:line="266" w:lineRule="auto"/>
      </w:pPr>
      <w:r>
        <w:rPr>
          <w:b/>
          <w:bCs/>
        </w:rPr>
        <w:t xml:space="preserve">Alzheimer disease: </w:t>
      </w:r>
      <w:r>
        <w:rPr>
          <w:i/>
          <w:iCs/>
        </w:rPr>
        <w:t>APOE, MAPT, TREM2, APP, PSEN1</w:t>
      </w:r>
    </w:p>
    <w:p w14:paraId="161E7FB2" w14:textId="77777777" w:rsidR="007A3754" w:rsidRDefault="00000000">
      <w:pPr>
        <w:pStyle w:val="ListParagraph"/>
        <w:numPr>
          <w:ilvl w:val="0"/>
          <w:numId w:val="2"/>
        </w:numPr>
        <w:spacing w:after="80" w:line="266" w:lineRule="auto"/>
      </w:pPr>
      <w:r>
        <w:rPr>
          <w:b/>
          <w:bCs/>
        </w:rPr>
        <w:t xml:space="preserve">Parkinson disease: </w:t>
      </w:r>
      <w:r>
        <w:rPr>
          <w:i/>
          <w:iCs/>
        </w:rPr>
        <w:t>SNCA, LRRK2, GBA, PRKN, PINK1</w:t>
      </w:r>
    </w:p>
    <w:p w14:paraId="2B157A00" w14:textId="77777777" w:rsidR="007A3754" w:rsidRDefault="00000000">
      <w:pPr>
        <w:pStyle w:val="ListParagraph"/>
        <w:numPr>
          <w:ilvl w:val="0"/>
          <w:numId w:val="2"/>
        </w:numPr>
        <w:spacing w:after="80" w:line="266" w:lineRule="auto"/>
      </w:pPr>
      <w:r>
        <w:rPr>
          <w:b/>
          <w:bCs/>
        </w:rPr>
        <w:t xml:space="preserve">ALS / FTD: </w:t>
      </w:r>
      <w:r>
        <w:rPr>
          <w:i/>
          <w:iCs/>
        </w:rPr>
        <w:t>SOD1, TARDBP, C9orf72, FUS</w:t>
      </w:r>
    </w:p>
    <w:p w14:paraId="71F61D86" w14:textId="77777777" w:rsidR="007A3754" w:rsidRDefault="00000000">
      <w:pPr>
        <w:pStyle w:val="ListParagraph"/>
        <w:numPr>
          <w:ilvl w:val="0"/>
          <w:numId w:val="2"/>
        </w:numPr>
        <w:spacing w:after="80" w:line="266" w:lineRule="auto"/>
      </w:pPr>
      <w:r>
        <w:rPr>
          <w:b/>
          <w:bCs/>
        </w:rPr>
        <w:t xml:space="preserve">Non-neurological control: </w:t>
      </w:r>
      <w:r>
        <w:t>a set of metabolic and immune genes outside the model’s focus, used to check the system does not pattern-match every gene into a neurodegeneration story.</w:t>
      </w:r>
    </w:p>
    <w:p w14:paraId="09D7A17B" w14:textId="77777777" w:rsidR="007A3754" w:rsidRDefault="00000000">
      <w:pPr>
        <w:pStyle w:val="Heading2"/>
      </w:pPr>
      <w:r>
        <w:t>4.2   Adversarial input battery</w:t>
      </w:r>
    </w:p>
    <w:p w14:paraId="305AB2A4" w14:textId="77777777" w:rsidR="007A3754" w:rsidRDefault="00000000">
      <w:pPr>
        <w:spacing w:after="140" w:line="272" w:lineRule="auto"/>
      </w:pPr>
      <w:r>
        <w:t xml:space="preserve">A fixed set of inputs where the correct </w:t>
      </w:r>
      <w:proofErr w:type="spellStart"/>
      <w:r>
        <w:t>behaviour</w:t>
      </w:r>
      <w:proofErr w:type="spellEnd"/>
      <w:r>
        <w:t xml:space="preserve"> is to flag a problem rather than answer confidently:</w:t>
      </w:r>
    </w:p>
    <w:p w14:paraId="228417F2" w14:textId="77777777" w:rsidR="007A3754" w:rsidRDefault="00000000">
      <w:pPr>
        <w:pStyle w:val="ListParagraph"/>
        <w:numPr>
          <w:ilvl w:val="0"/>
          <w:numId w:val="2"/>
        </w:numPr>
        <w:spacing w:after="80" w:line="266" w:lineRule="auto"/>
      </w:pPr>
      <w:r>
        <w:t>Fictional or malformed gene symbols that do not exist.</w:t>
      </w:r>
    </w:p>
    <w:p w14:paraId="409754A3" w14:textId="77777777" w:rsidR="007A3754" w:rsidRDefault="00000000">
      <w:pPr>
        <w:pStyle w:val="ListParagraph"/>
        <w:numPr>
          <w:ilvl w:val="0"/>
          <w:numId w:val="2"/>
        </w:numPr>
        <w:spacing w:after="80" w:line="266" w:lineRule="auto"/>
      </w:pPr>
      <w:r>
        <w:t>Deliberately ambiguous queries (symbols that map to more than one gene, or aliases).</w:t>
      </w:r>
    </w:p>
    <w:p w14:paraId="0896D420" w14:textId="77777777" w:rsidR="007A3754" w:rsidRDefault="00000000">
      <w:pPr>
        <w:pStyle w:val="ListParagraph"/>
        <w:numPr>
          <w:ilvl w:val="0"/>
          <w:numId w:val="2"/>
        </w:numPr>
        <w:spacing w:after="80" w:line="266" w:lineRule="auto"/>
      </w:pPr>
      <w:r>
        <w:t xml:space="preserve">Real genes paired with a false premise (for example, “describe </w:t>
      </w:r>
      <w:r>
        <w:rPr>
          <w:i/>
          <w:iCs/>
        </w:rPr>
        <w:t>SNCA</w:t>
      </w:r>
      <w:r>
        <w:t>’s role in glycolysis”).</w:t>
      </w:r>
    </w:p>
    <w:p w14:paraId="1D547A1D" w14:textId="77777777" w:rsidR="007A3754" w:rsidRDefault="00000000">
      <w:pPr>
        <w:pStyle w:val="ListParagraph"/>
        <w:numPr>
          <w:ilvl w:val="0"/>
          <w:numId w:val="2"/>
        </w:numPr>
        <w:spacing w:after="80" w:line="266" w:lineRule="auto"/>
      </w:pPr>
      <w:r>
        <w:t>Queries about findings that have since been superseded or retracted.</w:t>
      </w:r>
    </w:p>
    <w:p w14:paraId="4CDD5DA3" w14:textId="77777777" w:rsidR="007A3754" w:rsidRDefault="00000000">
      <w:pPr>
        <w:pStyle w:val="Heading2"/>
      </w:pPr>
      <w:r>
        <w:t>4.3   Network and trainable panel</w:t>
      </w:r>
    </w:p>
    <w:p w14:paraId="635E0B68" w14:textId="77777777" w:rsidR="007A3754" w:rsidRDefault="00000000">
      <w:pPr>
        <w:spacing w:after="140" w:line="272" w:lineRule="auto"/>
      </w:pPr>
      <w:r>
        <w:t>The live cross-disease network (311 nodes, 474 edges) and its rate-the-edge interface. About 167 of the 474 edges are currently marked tentative and are the working set for edge validation.</w:t>
      </w:r>
    </w:p>
    <w:p w14:paraId="29E882C7" w14:textId="77777777" w:rsidR="007A3754" w:rsidRDefault="00000000">
      <w:pPr>
        <w:pStyle w:val="Heading2"/>
      </w:pPr>
      <w:r>
        <w:t>4.4   Reference resources</w:t>
      </w:r>
    </w:p>
    <w:p w14:paraId="57EDD8A5" w14:textId="77777777" w:rsidR="007A3754" w:rsidRDefault="00000000">
      <w:pPr>
        <w:spacing w:after="140" w:line="272" w:lineRule="auto"/>
      </w:pPr>
      <w:r>
        <w:t>Primary sources used by the system (</w:t>
      </w:r>
      <w:proofErr w:type="spellStart"/>
      <w:r>
        <w:t>UniProt</w:t>
      </w:r>
      <w:proofErr w:type="spellEnd"/>
      <w:r>
        <w:t xml:space="preserve">, NCBI Entrez, </w:t>
      </w:r>
      <w:proofErr w:type="spellStart"/>
      <w:r>
        <w:t>Ensembl</w:t>
      </w:r>
      <w:proofErr w:type="spellEnd"/>
      <w:r>
        <w:t xml:space="preserve">, </w:t>
      </w:r>
      <w:proofErr w:type="spellStart"/>
      <w:r>
        <w:t>Reactome</w:t>
      </w:r>
      <w:proofErr w:type="spellEnd"/>
      <w:r>
        <w:t xml:space="preserve">) and independent interaction references used only for held-out checks (for example STRING and </w:t>
      </w:r>
      <w:proofErr w:type="spellStart"/>
      <w:r>
        <w:t>BioGRID</w:t>
      </w:r>
      <w:proofErr w:type="spellEnd"/>
      <w:r>
        <w:t>). The independent references are treated as comparison oracles, not ground truth; see Section 8.</w:t>
      </w:r>
    </w:p>
    <w:p w14:paraId="5A9D0F4D" w14:textId="77777777" w:rsidR="007A3754" w:rsidRDefault="00000000">
      <w:pPr>
        <w:pStyle w:val="Heading1"/>
      </w:pPr>
      <w:r>
        <w:t>5   Procedure</w:t>
      </w:r>
    </w:p>
    <w:p w14:paraId="5660E340" w14:textId="77777777" w:rsidR="007A3754" w:rsidRDefault="00000000">
      <w:pPr>
        <w:spacing w:after="140" w:line="272" w:lineRule="auto"/>
      </w:pPr>
      <w:r>
        <w:t>Run the three evaluation layers in order. Each layer has its own steps and acceptance criteria. A failure at Layer 1 invalidates the layers above it, so treat Layer 1 as a gate.</w:t>
      </w:r>
    </w:p>
    <w:p w14:paraId="5DFAE5C4" w14:textId="77777777" w:rsidR="007A3754" w:rsidRDefault="00000000">
      <w:pPr>
        <w:pStyle w:val="Heading2"/>
      </w:pPr>
      <w:r>
        <w:t>5.1   Layer 1: Tooling fidelity (the mechanical floor)</w:t>
      </w:r>
    </w:p>
    <w:p w14:paraId="7D4D7008" w14:textId="77777777" w:rsidR="007A3754" w:rsidRDefault="00000000">
      <w:pPr>
        <w:tabs>
          <w:tab w:val="left" w:pos="900"/>
        </w:tabs>
        <w:spacing w:after="90" w:line="268" w:lineRule="auto"/>
        <w:ind w:left="900" w:hanging="900"/>
      </w:pPr>
      <w:r>
        <w:rPr>
          <w:rFonts w:ascii="Consolas" w:eastAsia="Consolas" w:hAnsi="Consolas" w:cs="Consolas"/>
          <w:b/>
          <w:bCs/>
          <w:color w:val="0B3B5A"/>
          <w:sz w:val="20"/>
          <w:szCs w:val="20"/>
        </w:rPr>
        <w:t>5.1.1</w:t>
      </w:r>
      <w:r>
        <w:tab/>
        <w:t xml:space="preserve">Assemble a held-out set of genes with hand-curated canonical answers (correct </w:t>
      </w:r>
      <w:proofErr w:type="spellStart"/>
      <w:r>
        <w:t>UniProt</w:t>
      </w:r>
      <w:proofErr w:type="spellEnd"/>
      <w:r>
        <w:t xml:space="preserve"> accession, Entrez Gene ID, </w:t>
      </w:r>
      <w:proofErr w:type="spellStart"/>
      <w:r>
        <w:t>Ensembl</w:t>
      </w:r>
      <w:proofErr w:type="spellEnd"/>
      <w:r>
        <w:t xml:space="preserve"> ID, primary disease associations).</w:t>
      </w:r>
    </w:p>
    <w:p w14:paraId="1ECFEF53" w14:textId="77777777" w:rsidR="007A3754" w:rsidRDefault="00000000">
      <w:pPr>
        <w:tabs>
          <w:tab w:val="left" w:pos="900"/>
        </w:tabs>
        <w:spacing w:after="90" w:line="268" w:lineRule="auto"/>
        <w:ind w:left="900" w:hanging="900"/>
      </w:pPr>
      <w:r>
        <w:rPr>
          <w:rFonts w:ascii="Consolas" w:eastAsia="Consolas" w:hAnsi="Consolas" w:cs="Consolas"/>
          <w:b/>
          <w:bCs/>
          <w:color w:val="0B3B5A"/>
          <w:sz w:val="20"/>
          <w:szCs w:val="20"/>
        </w:rPr>
        <w:t>5.1.2</w:t>
      </w:r>
      <w:r>
        <w:tab/>
        <w:t>For each gene, run the retrieval pipeline and record whether each source returned and parsed the correct record.</w:t>
      </w:r>
    </w:p>
    <w:p w14:paraId="2A1D05C4" w14:textId="77777777" w:rsidR="007A3754" w:rsidRDefault="00000000">
      <w:pPr>
        <w:tabs>
          <w:tab w:val="left" w:pos="900"/>
        </w:tabs>
        <w:spacing w:after="90" w:line="268" w:lineRule="auto"/>
        <w:ind w:left="900" w:hanging="900"/>
      </w:pPr>
      <w:r>
        <w:rPr>
          <w:rFonts w:ascii="Consolas" w:eastAsia="Consolas" w:hAnsi="Consolas" w:cs="Consolas"/>
          <w:b/>
          <w:bCs/>
          <w:color w:val="0B3B5A"/>
          <w:sz w:val="20"/>
          <w:szCs w:val="20"/>
        </w:rPr>
        <w:lastRenderedPageBreak/>
        <w:t>5.1.3</w:t>
      </w:r>
      <w:r>
        <w:tab/>
        <w:t>Compute precision and recall of retrieved records against the curated answers, per source and overall.</w:t>
      </w:r>
    </w:p>
    <w:p w14:paraId="3672F60A" w14:textId="77777777" w:rsidR="007A3754" w:rsidRDefault="00000000">
      <w:pPr>
        <w:spacing w:after="130" w:line="268" w:lineRule="auto"/>
        <w:ind w:left="360"/>
      </w:pPr>
      <w:r>
        <w:rPr>
          <w:b/>
          <w:bCs/>
          <w:i/>
          <w:iCs/>
          <w:color w:val="555555"/>
        </w:rPr>
        <w:t xml:space="preserve">Note. </w:t>
      </w:r>
      <w:r>
        <w:t>This layer is rarely reported in agent work, but if retrieval is unreliable every downstream claim is unsupported. Score it first and gate on it.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A3754" w14:paraId="20BE5FAE" w14:textId="77777777">
        <w:tblPrEx>
          <w:tblCellMar>
            <w:top w:w="0" w:type="dxa"/>
            <w:bottom w:w="0" w:type="dxa"/>
          </w:tblCellMar>
        </w:tblPrEx>
        <w:tc>
          <w:tcPr>
            <w:tcW w:w="9360" w:type="dxa"/>
            <w:tcBorders>
              <w:top w:val="single" w:sz="4" w:space="0" w:color="0B3B5A"/>
              <w:left w:val="single" w:sz="18" w:space="0" w:color="0B3B5A"/>
              <w:bottom w:val="single" w:sz="4" w:space="0" w:color="0B3B5A"/>
              <w:right w:val="single" w:sz="4" w:space="0" w:color="0B3B5A"/>
            </w:tcBorders>
            <w:shd w:val="clear" w:color="auto" w:fill="E8F1E9"/>
            <w:tcMar>
              <w:top w:w="120" w:type="dxa"/>
              <w:left w:w="180" w:type="dxa"/>
              <w:bottom w:w="120" w:type="dxa"/>
              <w:right w:w="160" w:type="dxa"/>
            </w:tcMar>
          </w:tcPr>
          <w:p w14:paraId="73559C32" w14:textId="77777777" w:rsidR="007A3754" w:rsidRDefault="00000000">
            <w:pPr>
              <w:spacing w:after="60"/>
            </w:pPr>
            <w:r>
              <w:rPr>
                <w:b/>
                <w:bCs/>
                <w:caps/>
                <w:color w:val="0B3B5A"/>
                <w:sz w:val="20"/>
                <w:szCs w:val="20"/>
              </w:rPr>
              <w:t>Acceptance criteria</w:t>
            </w:r>
          </w:p>
          <w:p w14:paraId="36561DB4" w14:textId="77777777" w:rsidR="007A3754" w:rsidRDefault="00000000">
            <w:pPr>
              <w:spacing w:line="268" w:lineRule="auto"/>
            </w:pPr>
            <w:r>
              <w:t>Record-level precision and recall at or above the pre-registered threshold for every source. Any systematic parse failure (a source silently returning the wrong record) is a blocking defect, independent of the aggregate number.</w:t>
            </w:r>
          </w:p>
        </w:tc>
      </w:tr>
    </w:tbl>
    <w:p w14:paraId="42694F28" w14:textId="77777777" w:rsidR="007A3754" w:rsidRDefault="00000000">
      <w:pPr>
        <w:pStyle w:val="Heading2"/>
      </w:pPr>
      <w:r>
        <w:t>5.2   Layer 2: Agentic reasoning quality (trajectory grading)</w:t>
      </w:r>
    </w:p>
    <w:p w14:paraId="5D0E8D2B" w14:textId="77777777" w:rsidR="007A3754" w:rsidRDefault="00000000">
      <w:pPr>
        <w:tabs>
          <w:tab w:val="left" w:pos="900"/>
        </w:tabs>
        <w:spacing w:after="90" w:line="268" w:lineRule="auto"/>
        <w:ind w:left="900" w:hanging="900"/>
      </w:pPr>
      <w:r>
        <w:rPr>
          <w:rFonts w:ascii="Consolas" w:eastAsia="Consolas" w:hAnsi="Consolas" w:cs="Consolas"/>
          <w:b/>
          <w:bCs/>
          <w:color w:val="0B3B5A"/>
          <w:sz w:val="20"/>
          <w:szCs w:val="20"/>
        </w:rPr>
        <w:t>5.2.1</w:t>
      </w:r>
      <w:r>
        <w:tab/>
        <w:t>Draw a held-out query set covering single-gene, alias, and ambiguous cases.</w:t>
      </w:r>
    </w:p>
    <w:p w14:paraId="124A8A15" w14:textId="77777777" w:rsidR="007A3754" w:rsidRDefault="00000000">
      <w:pPr>
        <w:tabs>
          <w:tab w:val="left" w:pos="900"/>
        </w:tabs>
        <w:spacing w:after="90" w:line="268" w:lineRule="auto"/>
        <w:ind w:left="900" w:hanging="900"/>
      </w:pPr>
      <w:r>
        <w:rPr>
          <w:rFonts w:ascii="Consolas" w:eastAsia="Consolas" w:hAnsi="Consolas" w:cs="Consolas"/>
          <w:b/>
          <w:bCs/>
          <w:color w:val="0B3B5A"/>
          <w:sz w:val="20"/>
          <w:szCs w:val="20"/>
        </w:rPr>
        <w:t>5.2.2</w:t>
      </w:r>
      <w:r>
        <w:tab/>
        <w:t>For each query, capture the full trajectory (which tools were called, in what order, and when the agent stopped).</w:t>
      </w:r>
    </w:p>
    <w:p w14:paraId="50A00AD7" w14:textId="77777777" w:rsidR="007A3754" w:rsidRDefault="00000000">
      <w:pPr>
        <w:tabs>
          <w:tab w:val="left" w:pos="900"/>
        </w:tabs>
        <w:spacing w:after="90" w:line="268" w:lineRule="auto"/>
        <w:ind w:left="900" w:hanging="900"/>
      </w:pPr>
      <w:r>
        <w:rPr>
          <w:rFonts w:ascii="Consolas" w:eastAsia="Consolas" w:hAnsi="Consolas" w:cs="Consolas"/>
          <w:b/>
          <w:bCs/>
          <w:color w:val="0B3B5A"/>
          <w:sz w:val="20"/>
          <w:szCs w:val="20"/>
        </w:rPr>
        <w:t>5.2.3</w:t>
      </w:r>
      <w:r>
        <w:tab/>
        <w:t xml:space="preserve">Have an SME score each tool call as </w:t>
      </w:r>
      <w:r>
        <w:rPr>
          <w:b/>
          <w:bCs/>
        </w:rPr>
        <w:t>necessary</w:t>
      </w:r>
      <w:r>
        <w:t xml:space="preserve">, </w:t>
      </w:r>
      <w:r>
        <w:rPr>
          <w:b/>
          <w:bCs/>
        </w:rPr>
        <w:t>sufficient</w:t>
      </w:r>
      <w:r>
        <w:t xml:space="preserve">, or </w:t>
      </w:r>
      <w:r>
        <w:rPr>
          <w:b/>
          <w:bCs/>
        </w:rPr>
        <w:t>redundant</w:t>
      </w:r>
      <w:r>
        <w:t>, and assign a composite score to the whole resolution path.</w:t>
      </w:r>
    </w:p>
    <w:p w14:paraId="26CCB153" w14:textId="77777777" w:rsidR="007A3754" w:rsidRDefault="00000000">
      <w:pPr>
        <w:tabs>
          <w:tab w:val="left" w:pos="900"/>
        </w:tabs>
        <w:spacing w:after="90" w:line="268" w:lineRule="auto"/>
        <w:ind w:left="900" w:hanging="900"/>
      </w:pPr>
      <w:r>
        <w:rPr>
          <w:rFonts w:ascii="Consolas" w:eastAsia="Consolas" w:hAnsi="Consolas" w:cs="Consolas"/>
          <w:b/>
          <w:bCs/>
          <w:color w:val="0B3B5A"/>
          <w:sz w:val="20"/>
          <w:szCs w:val="20"/>
        </w:rPr>
        <w:t>5.2.4</w:t>
      </w:r>
      <w:r>
        <w:tab/>
        <w:t>Report expert-agreement rates across the query set rather than a single accuracy figure.</w:t>
      </w:r>
    </w:p>
    <w:p w14:paraId="15BB811D" w14:textId="77777777" w:rsidR="007A3754" w:rsidRDefault="00000000">
      <w:pPr>
        <w:spacing w:after="130" w:line="268" w:lineRule="auto"/>
        <w:ind w:left="360"/>
      </w:pPr>
      <w:r>
        <w:rPr>
          <w:b/>
          <w:bCs/>
          <w:i/>
          <w:iCs/>
          <w:color w:val="555555"/>
        </w:rPr>
        <w:t xml:space="preserve">Note. </w:t>
      </w:r>
      <w:r>
        <w:t xml:space="preserve">Trajectory grading is subjective. Report agreement and </w:t>
      </w:r>
      <w:proofErr w:type="gramStart"/>
      <w:r>
        <w:t>dispersion, and</w:t>
      </w:r>
      <w:proofErr w:type="gramEnd"/>
      <w:r>
        <w:t xml:space="preserve"> resist the temptation to compress it into one headline number.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A3754" w14:paraId="691C235A" w14:textId="77777777">
        <w:tblPrEx>
          <w:tblCellMar>
            <w:top w:w="0" w:type="dxa"/>
            <w:bottom w:w="0" w:type="dxa"/>
          </w:tblCellMar>
        </w:tblPrEx>
        <w:tc>
          <w:tcPr>
            <w:tcW w:w="9360" w:type="dxa"/>
            <w:tcBorders>
              <w:top w:val="single" w:sz="4" w:space="0" w:color="0B3B5A"/>
              <w:left w:val="single" w:sz="18" w:space="0" w:color="0B3B5A"/>
              <w:bottom w:val="single" w:sz="4" w:space="0" w:color="0B3B5A"/>
              <w:right w:val="single" w:sz="4" w:space="0" w:color="0B3B5A"/>
            </w:tcBorders>
            <w:shd w:val="clear" w:color="auto" w:fill="E8F1E9"/>
            <w:tcMar>
              <w:top w:w="120" w:type="dxa"/>
              <w:left w:w="180" w:type="dxa"/>
              <w:bottom w:w="120" w:type="dxa"/>
              <w:right w:w="160" w:type="dxa"/>
            </w:tcMar>
          </w:tcPr>
          <w:p w14:paraId="555505B5" w14:textId="77777777" w:rsidR="007A3754" w:rsidRDefault="00000000">
            <w:pPr>
              <w:spacing w:after="60"/>
            </w:pPr>
            <w:r>
              <w:rPr>
                <w:b/>
                <w:bCs/>
                <w:caps/>
                <w:color w:val="0B3B5A"/>
                <w:sz w:val="20"/>
                <w:szCs w:val="20"/>
              </w:rPr>
              <w:t>Acceptance criteria</w:t>
            </w:r>
          </w:p>
          <w:p w14:paraId="39C8D83B" w14:textId="77777777" w:rsidR="007A3754" w:rsidRDefault="00000000">
            <w:pPr>
              <w:spacing w:line="268" w:lineRule="auto"/>
            </w:pPr>
            <w:r>
              <w:t>Expert-judged composite at or above threshold, with no query resolved through a trajectory the SME marks as unsafe (for example, answering despite a failed or missing retrieval).</w:t>
            </w:r>
          </w:p>
        </w:tc>
      </w:tr>
    </w:tbl>
    <w:p w14:paraId="77851E51" w14:textId="77777777" w:rsidR="007A3754" w:rsidRDefault="00000000">
      <w:pPr>
        <w:pStyle w:val="Heading2"/>
      </w:pPr>
      <w:r>
        <w:t>5.3   Layer 3: Scientific output quality (the layer that matters)</w:t>
      </w:r>
    </w:p>
    <w:p w14:paraId="48E8F579" w14:textId="77777777" w:rsidR="007A3754" w:rsidRDefault="00000000">
      <w:pPr>
        <w:spacing w:after="140" w:line="272" w:lineRule="auto"/>
      </w:pPr>
      <w:r>
        <w:t>Score each generated brief against its gold-standard reference, claim by claim, on four dimensions. These are the same four dimensions the training loop reweights, so the rubric the SME applies and the rubric the model optimizes against are one object.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00"/>
        <w:gridCol w:w="4300"/>
        <w:gridCol w:w="2960"/>
      </w:tblGrid>
      <w:tr w:rsidR="007A3754" w14:paraId="0F12A3E2" w14:textId="77777777">
        <w:tblPrEx>
          <w:tblCellMar>
            <w:top w:w="0" w:type="dxa"/>
            <w:bottom w:w="0" w:type="dxa"/>
          </w:tblCellMar>
        </w:tblPrEx>
        <w:tc>
          <w:tcPr>
            <w:tcW w:w="2100" w:type="dxa"/>
            <w:tcBorders>
              <w:top w:val="single" w:sz="4" w:space="0" w:color="C9D2DB"/>
              <w:left w:val="single" w:sz="4" w:space="0" w:color="C9D2DB"/>
              <w:bottom w:val="single" w:sz="4" w:space="0" w:color="C9D2DB"/>
              <w:right w:val="single" w:sz="4" w:space="0" w:color="C9D2DB"/>
            </w:tcBorders>
            <w:shd w:val="clear" w:color="auto" w:fill="0B3B5A"/>
            <w:tcMar>
              <w:top w:w="70" w:type="dxa"/>
              <w:left w:w="120" w:type="dxa"/>
              <w:bottom w:w="70" w:type="dxa"/>
              <w:right w:w="120" w:type="dxa"/>
            </w:tcMar>
          </w:tcPr>
          <w:p w14:paraId="2C1DF9F3" w14:textId="77777777" w:rsidR="007A3754" w:rsidRDefault="00000000">
            <w:pPr>
              <w:spacing w:line="264" w:lineRule="auto"/>
            </w:pPr>
            <w:r>
              <w:rPr>
                <w:b/>
                <w:bCs/>
                <w:color w:val="FFFFFF"/>
              </w:rPr>
              <w:t>Dimension</w:t>
            </w:r>
          </w:p>
        </w:tc>
        <w:tc>
          <w:tcPr>
            <w:tcW w:w="4300" w:type="dxa"/>
            <w:tcBorders>
              <w:top w:val="single" w:sz="4" w:space="0" w:color="C9D2DB"/>
              <w:left w:val="single" w:sz="4" w:space="0" w:color="C9D2DB"/>
              <w:bottom w:val="single" w:sz="4" w:space="0" w:color="C9D2DB"/>
              <w:right w:val="single" w:sz="4" w:space="0" w:color="C9D2DB"/>
            </w:tcBorders>
            <w:shd w:val="clear" w:color="auto" w:fill="0B3B5A"/>
            <w:tcMar>
              <w:top w:w="70" w:type="dxa"/>
              <w:left w:w="120" w:type="dxa"/>
              <w:bottom w:w="70" w:type="dxa"/>
              <w:right w:w="120" w:type="dxa"/>
            </w:tcMar>
          </w:tcPr>
          <w:p w14:paraId="150AB4B3" w14:textId="77777777" w:rsidR="007A3754" w:rsidRDefault="00000000">
            <w:pPr>
              <w:spacing w:line="264" w:lineRule="auto"/>
            </w:pPr>
            <w:r>
              <w:rPr>
                <w:b/>
                <w:bCs/>
                <w:color w:val="FFFFFF"/>
              </w:rPr>
              <w:t>What it measures</w:t>
            </w:r>
          </w:p>
        </w:tc>
        <w:tc>
          <w:tcPr>
            <w:tcW w:w="2960" w:type="dxa"/>
            <w:tcBorders>
              <w:top w:val="single" w:sz="4" w:space="0" w:color="C9D2DB"/>
              <w:left w:val="single" w:sz="4" w:space="0" w:color="C9D2DB"/>
              <w:bottom w:val="single" w:sz="4" w:space="0" w:color="C9D2DB"/>
              <w:right w:val="single" w:sz="4" w:space="0" w:color="C9D2DB"/>
            </w:tcBorders>
            <w:shd w:val="clear" w:color="auto" w:fill="0B3B5A"/>
            <w:tcMar>
              <w:top w:w="70" w:type="dxa"/>
              <w:left w:w="120" w:type="dxa"/>
              <w:bottom w:w="70" w:type="dxa"/>
              <w:right w:w="120" w:type="dxa"/>
            </w:tcMar>
          </w:tcPr>
          <w:p w14:paraId="56C2ED33" w14:textId="77777777" w:rsidR="007A3754" w:rsidRDefault="00000000">
            <w:pPr>
              <w:spacing w:line="264" w:lineRule="auto"/>
            </w:pPr>
            <w:r>
              <w:rPr>
                <w:b/>
                <w:bCs/>
                <w:color w:val="FFFFFF"/>
              </w:rPr>
              <w:t>Dominant failure mode</w:t>
            </w:r>
          </w:p>
        </w:tc>
      </w:tr>
      <w:tr w:rsidR="007A3754" w14:paraId="27153310" w14:textId="77777777">
        <w:tblPrEx>
          <w:tblCellMar>
            <w:top w:w="0" w:type="dxa"/>
            <w:bottom w:w="0" w:type="dxa"/>
          </w:tblCellMar>
        </w:tblPrEx>
        <w:tc>
          <w:tcPr>
            <w:tcW w:w="2100" w:type="dxa"/>
            <w:tcBorders>
              <w:top w:val="single" w:sz="4" w:space="0" w:color="C9D2DB"/>
              <w:left w:val="single" w:sz="4" w:space="0" w:color="C9D2DB"/>
              <w:bottom w:val="single" w:sz="4" w:space="0" w:color="C9D2DB"/>
              <w:right w:val="single" w:sz="4" w:space="0" w:color="C9D2DB"/>
            </w:tcBorders>
            <w:shd w:val="clear" w:color="auto" w:fill="FFFFFF"/>
            <w:tcMar>
              <w:top w:w="70" w:type="dxa"/>
              <w:left w:w="120" w:type="dxa"/>
              <w:bottom w:w="70" w:type="dxa"/>
              <w:right w:w="120" w:type="dxa"/>
            </w:tcMar>
          </w:tcPr>
          <w:p w14:paraId="5925CD39" w14:textId="77777777" w:rsidR="007A3754" w:rsidRDefault="00000000">
            <w:pPr>
              <w:spacing w:line="264" w:lineRule="auto"/>
            </w:pPr>
            <w:r>
              <w:rPr>
                <w:b/>
                <w:bCs/>
              </w:rPr>
              <w:t>Factuality</w:t>
            </w:r>
          </w:p>
        </w:tc>
        <w:tc>
          <w:tcPr>
            <w:tcW w:w="4300" w:type="dxa"/>
            <w:tcBorders>
              <w:top w:val="single" w:sz="4" w:space="0" w:color="C9D2DB"/>
              <w:left w:val="single" w:sz="4" w:space="0" w:color="C9D2DB"/>
              <w:bottom w:val="single" w:sz="4" w:space="0" w:color="C9D2DB"/>
              <w:right w:val="single" w:sz="4" w:space="0" w:color="C9D2DB"/>
            </w:tcBorders>
            <w:shd w:val="clear" w:color="auto" w:fill="FFFFFF"/>
            <w:tcMar>
              <w:top w:w="70" w:type="dxa"/>
              <w:left w:w="120" w:type="dxa"/>
              <w:bottom w:w="70" w:type="dxa"/>
              <w:right w:w="120" w:type="dxa"/>
            </w:tcMar>
          </w:tcPr>
          <w:p w14:paraId="1A3EDF6C" w14:textId="77777777" w:rsidR="007A3754" w:rsidRDefault="00000000">
            <w:pPr>
              <w:spacing w:line="264" w:lineRule="auto"/>
            </w:pPr>
            <w:r>
              <w:t>Are the asserted facts correct against the reference brief?</w:t>
            </w:r>
          </w:p>
        </w:tc>
        <w:tc>
          <w:tcPr>
            <w:tcW w:w="2960" w:type="dxa"/>
            <w:tcBorders>
              <w:top w:val="single" w:sz="4" w:space="0" w:color="C9D2DB"/>
              <w:left w:val="single" w:sz="4" w:space="0" w:color="C9D2DB"/>
              <w:bottom w:val="single" w:sz="4" w:space="0" w:color="C9D2DB"/>
              <w:right w:val="single" w:sz="4" w:space="0" w:color="C9D2DB"/>
            </w:tcBorders>
            <w:shd w:val="clear" w:color="auto" w:fill="FFFFFF"/>
            <w:tcMar>
              <w:top w:w="70" w:type="dxa"/>
              <w:left w:w="120" w:type="dxa"/>
              <w:bottom w:w="70" w:type="dxa"/>
              <w:right w:w="120" w:type="dxa"/>
            </w:tcMar>
          </w:tcPr>
          <w:p w14:paraId="790DF24B" w14:textId="77777777" w:rsidR="007A3754" w:rsidRDefault="00000000">
            <w:pPr>
              <w:spacing w:line="264" w:lineRule="auto"/>
            </w:pPr>
            <w:r>
              <w:t>Confidently wrong claim (scored worse than an omission)</w:t>
            </w:r>
          </w:p>
        </w:tc>
      </w:tr>
      <w:tr w:rsidR="007A3754" w14:paraId="7EBB2EC6" w14:textId="77777777">
        <w:tblPrEx>
          <w:tblCellMar>
            <w:top w:w="0" w:type="dxa"/>
            <w:bottom w:w="0" w:type="dxa"/>
          </w:tblCellMar>
        </w:tblPrEx>
        <w:tc>
          <w:tcPr>
            <w:tcW w:w="2100" w:type="dxa"/>
            <w:tcBorders>
              <w:top w:val="single" w:sz="4" w:space="0" w:color="C9D2DB"/>
              <w:left w:val="single" w:sz="4" w:space="0" w:color="C9D2DB"/>
              <w:bottom w:val="single" w:sz="4" w:space="0" w:color="C9D2DB"/>
              <w:right w:val="single" w:sz="4" w:space="0" w:color="C9D2DB"/>
            </w:tcBorders>
            <w:shd w:val="clear" w:color="auto" w:fill="FFFFFF"/>
            <w:tcMar>
              <w:top w:w="70" w:type="dxa"/>
              <w:left w:w="120" w:type="dxa"/>
              <w:bottom w:w="70" w:type="dxa"/>
              <w:right w:w="120" w:type="dxa"/>
            </w:tcMar>
          </w:tcPr>
          <w:p w14:paraId="7354C467" w14:textId="77777777" w:rsidR="007A3754" w:rsidRDefault="00000000">
            <w:pPr>
              <w:spacing w:line="264" w:lineRule="auto"/>
            </w:pPr>
            <w:r>
              <w:rPr>
                <w:b/>
                <w:bCs/>
              </w:rPr>
              <w:t>Completeness</w:t>
            </w:r>
          </w:p>
        </w:tc>
        <w:tc>
          <w:tcPr>
            <w:tcW w:w="4300" w:type="dxa"/>
            <w:tcBorders>
              <w:top w:val="single" w:sz="4" w:space="0" w:color="C9D2DB"/>
              <w:left w:val="single" w:sz="4" w:space="0" w:color="C9D2DB"/>
              <w:bottom w:val="single" w:sz="4" w:space="0" w:color="C9D2DB"/>
              <w:right w:val="single" w:sz="4" w:space="0" w:color="C9D2DB"/>
            </w:tcBorders>
            <w:shd w:val="clear" w:color="auto" w:fill="FFFFFF"/>
            <w:tcMar>
              <w:top w:w="70" w:type="dxa"/>
              <w:left w:w="120" w:type="dxa"/>
              <w:bottom w:w="70" w:type="dxa"/>
              <w:right w:w="120" w:type="dxa"/>
            </w:tcMar>
          </w:tcPr>
          <w:p w14:paraId="15FF8A39" w14:textId="77777777" w:rsidR="007A3754" w:rsidRDefault="00000000">
            <w:pPr>
              <w:spacing w:line="264" w:lineRule="auto"/>
            </w:pPr>
            <w:r>
              <w:t>Recall of the canonical facts a reviewer would expect</w:t>
            </w:r>
          </w:p>
        </w:tc>
        <w:tc>
          <w:tcPr>
            <w:tcW w:w="2960" w:type="dxa"/>
            <w:tcBorders>
              <w:top w:val="single" w:sz="4" w:space="0" w:color="C9D2DB"/>
              <w:left w:val="single" w:sz="4" w:space="0" w:color="C9D2DB"/>
              <w:bottom w:val="single" w:sz="4" w:space="0" w:color="C9D2DB"/>
              <w:right w:val="single" w:sz="4" w:space="0" w:color="C9D2DB"/>
            </w:tcBorders>
            <w:shd w:val="clear" w:color="auto" w:fill="FFFFFF"/>
            <w:tcMar>
              <w:top w:w="70" w:type="dxa"/>
              <w:left w:w="120" w:type="dxa"/>
              <w:bottom w:w="70" w:type="dxa"/>
              <w:right w:w="120" w:type="dxa"/>
            </w:tcMar>
          </w:tcPr>
          <w:p w14:paraId="07666847" w14:textId="77777777" w:rsidR="007A3754" w:rsidRDefault="00000000">
            <w:pPr>
              <w:spacing w:line="264" w:lineRule="auto"/>
            </w:pPr>
            <w:r>
              <w:t>Missing a key interactor or disease association</w:t>
            </w:r>
          </w:p>
        </w:tc>
      </w:tr>
      <w:tr w:rsidR="007A3754" w14:paraId="2E25082D" w14:textId="77777777">
        <w:tblPrEx>
          <w:tblCellMar>
            <w:top w:w="0" w:type="dxa"/>
            <w:bottom w:w="0" w:type="dxa"/>
          </w:tblCellMar>
        </w:tblPrEx>
        <w:tc>
          <w:tcPr>
            <w:tcW w:w="2100" w:type="dxa"/>
            <w:tcBorders>
              <w:top w:val="single" w:sz="4" w:space="0" w:color="C9D2DB"/>
              <w:left w:val="single" w:sz="4" w:space="0" w:color="C9D2DB"/>
              <w:bottom w:val="single" w:sz="4" w:space="0" w:color="C9D2DB"/>
              <w:right w:val="single" w:sz="4" w:space="0" w:color="C9D2DB"/>
            </w:tcBorders>
            <w:shd w:val="clear" w:color="auto" w:fill="FFFFFF"/>
            <w:tcMar>
              <w:top w:w="70" w:type="dxa"/>
              <w:left w:w="120" w:type="dxa"/>
              <w:bottom w:w="70" w:type="dxa"/>
              <w:right w:w="120" w:type="dxa"/>
            </w:tcMar>
          </w:tcPr>
          <w:p w14:paraId="6DFE70F7" w14:textId="77777777" w:rsidR="007A3754" w:rsidRDefault="00000000">
            <w:pPr>
              <w:spacing w:line="264" w:lineRule="auto"/>
            </w:pPr>
            <w:r>
              <w:rPr>
                <w:b/>
                <w:bCs/>
              </w:rPr>
              <w:t>Citation</w:t>
            </w:r>
          </w:p>
        </w:tc>
        <w:tc>
          <w:tcPr>
            <w:tcW w:w="4300" w:type="dxa"/>
            <w:tcBorders>
              <w:top w:val="single" w:sz="4" w:space="0" w:color="C9D2DB"/>
              <w:left w:val="single" w:sz="4" w:space="0" w:color="C9D2DB"/>
              <w:bottom w:val="single" w:sz="4" w:space="0" w:color="C9D2DB"/>
              <w:right w:val="single" w:sz="4" w:space="0" w:color="C9D2DB"/>
            </w:tcBorders>
            <w:shd w:val="clear" w:color="auto" w:fill="FFFFFF"/>
            <w:tcMar>
              <w:top w:w="70" w:type="dxa"/>
              <w:left w:w="120" w:type="dxa"/>
              <w:bottom w:w="70" w:type="dxa"/>
              <w:right w:w="120" w:type="dxa"/>
            </w:tcMar>
          </w:tcPr>
          <w:p w14:paraId="5540AA7E" w14:textId="77777777" w:rsidR="007A3754" w:rsidRDefault="00000000">
            <w:pPr>
              <w:spacing w:line="264" w:lineRule="auto"/>
            </w:pPr>
            <w:r>
              <w:t>Every identifier (</w:t>
            </w:r>
            <w:proofErr w:type="spellStart"/>
            <w:r>
              <w:t>UniProt</w:t>
            </w:r>
            <w:proofErr w:type="spellEnd"/>
            <w:r>
              <w:t xml:space="preserve">, </w:t>
            </w:r>
            <w:proofErr w:type="spellStart"/>
            <w:r>
              <w:t>Reactome</w:t>
            </w:r>
            <w:proofErr w:type="spellEnd"/>
            <w:r>
              <w:t>, PMID) grounded and verbatim</w:t>
            </w:r>
          </w:p>
        </w:tc>
        <w:tc>
          <w:tcPr>
            <w:tcW w:w="2960" w:type="dxa"/>
            <w:tcBorders>
              <w:top w:val="single" w:sz="4" w:space="0" w:color="C9D2DB"/>
              <w:left w:val="single" w:sz="4" w:space="0" w:color="C9D2DB"/>
              <w:bottom w:val="single" w:sz="4" w:space="0" w:color="C9D2DB"/>
              <w:right w:val="single" w:sz="4" w:space="0" w:color="C9D2DB"/>
            </w:tcBorders>
            <w:shd w:val="clear" w:color="auto" w:fill="FFFFFF"/>
            <w:tcMar>
              <w:top w:w="70" w:type="dxa"/>
              <w:left w:w="120" w:type="dxa"/>
              <w:bottom w:w="70" w:type="dxa"/>
              <w:right w:w="120" w:type="dxa"/>
            </w:tcMar>
          </w:tcPr>
          <w:p w14:paraId="2CD979DE" w14:textId="77777777" w:rsidR="007A3754" w:rsidRDefault="00000000">
            <w:pPr>
              <w:spacing w:line="264" w:lineRule="auto"/>
            </w:pPr>
            <w:r>
              <w:t>Fabricated or unverifiable identifier</w:t>
            </w:r>
          </w:p>
        </w:tc>
      </w:tr>
      <w:tr w:rsidR="007A3754" w14:paraId="34B17A08" w14:textId="77777777">
        <w:tblPrEx>
          <w:tblCellMar>
            <w:top w:w="0" w:type="dxa"/>
            <w:bottom w:w="0" w:type="dxa"/>
          </w:tblCellMar>
        </w:tblPrEx>
        <w:tc>
          <w:tcPr>
            <w:tcW w:w="2100" w:type="dxa"/>
            <w:tcBorders>
              <w:top w:val="single" w:sz="4" w:space="0" w:color="C9D2DB"/>
              <w:left w:val="single" w:sz="4" w:space="0" w:color="C9D2DB"/>
              <w:bottom w:val="single" w:sz="4" w:space="0" w:color="C9D2DB"/>
              <w:right w:val="single" w:sz="4" w:space="0" w:color="C9D2DB"/>
            </w:tcBorders>
            <w:shd w:val="clear" w:color="auto" w:fill="FFFFFF"/>
            <w:tcMar>
              <w:top w:w="70" w:type="dxa"/>
              <w:left w:w="120" w:type="dxa"/>
              <w:bottom w:w="70" w:type="dxa"/>
              <w:right w:w="120" w:type="dxa"/>
            </w:tcMar>
          </w:tcPr>
          <w:p w14:paraId="5DB7679C" w14:textId="77777777" w:rsidR="007A3754" w:rsidRDefault="00000000">
            <w:pPr>
              <w:spacing w:line="264" w:lineRule="auto"/>
            </w:pPr>
            <w:r>
              <w:rPr>
                <w:b/>
                <w:bCs/>
              </w:rPr>
              <w:t>Clarity</w:t>
            </w:r>
          </w:p>
        </w:tc>
        <w:tc>
          <w:tcPr>
            <w:tcW w:w="4300" w:type="dxa"/>
            <w:tcBorders>
              <w:top w:val="single" w:sz="4" w:space="0" w:color="C9D2DB"/>
              <w:left w:val="single" w:sz="4" w:space="0" w:color="C9D2DB"/>
              <w:bottom w:val="single" w:sz="4" w:space="0" w:color="C9D2DB"/>
              <w:right w:val="single" w:sz="4" w:space="0" w:color="C9D2DB"/>
            </w:tcBorders>
            <w:shd w:val="clear" w:color="auto" w:fill="FFFFFF"/>
            <w:tcMar>
              <w:top w:w="70" w:type="dxa"/>
              <w:left w:w="120" w:type="dxa"/>
              <w:bottom w:w="70" w:type="dxa"/>
              <w:right w:w="120" w:type="dxa"/>
            </w:tcMar>
          </w:tcPr>
          <w:p w14:paraId="600EAD87" w14:textId="77777777" w:rsidR="007A3754" w:rsidRDefault="00000000">
            <w:pPr>
              <w:spacing w:line="264" w:lineRule="auto"/>
            </w:pPr>
            <w:r>
              <w:t>Dense, unhedged, well-structured prose at peer register</w:t>
            </w:r>
          </w:p>
        </w:tc>
        <w:tc>
          <w:tcPr>
            <w:tcW w:w="2960" w:type="dxa"/>
            <w:tcBorders>
              <w:top w:val="single" w:sz="4" w:space="0" w:color="C9D2DB"/>
              <w:left w:val="single" w:sz="4" w:space="0" w:color="C9D2DB"/>
              <w:bottom w:val="single" w:sz="4" w:space="0" w:color="C9D2DB"/>
              <w:right w:val="single" w:sz="4" w:space="0" w:color="C9D2DB"/>
            </w:tcBorders>
            <w:shd w:val="clear" w:color="auto" w:fill="FFFFFF"/>
            <w:tcMar>
              <w:top w:w="70" w:type="dxa"/>
              <w:left w:w="120" w:type="dxa"/>
              <w:bottom w:w="70" w:type="dxa"/>
              <w:right w:w="120" w:type="dxa"/>
            </w:tcMar>
          </w:tcPr>
          <w:p w14:paraId="2E23F66D" w14:textId="77777777" w:rsidR="007A3754" w:rsidRDefault="00000000">
            <w:pPr>
              <w:spacing w:line="264" w:lineRule="auto"/>
            </w:pPr>
            <w:r>
              <w:t>Evasiveness and vague hedging</w:t>
            </w:r>
          </w:p>
        </w:tc>
      </w:tr>
    </w:tbl>
    <w:p w14:paraId="17A354DC" w14:textId="77777777" w:rsidR="007A3754" w:rsidRDefault="00000000">
      <w:pPr>
        <w:spacing w:after="60"/>
      </w:pPr>
      <w:r>
        <w:t xml:space="preserve"> </w:t>
      </w:r>
    </w:p>
    <w:p w14:paraId="6FFB2821" w14:textId="77777777" w:rsidR="007A3754" w:rsidRDefault="00000000">
      <w:pPr>
        <w:tabs>
          <w:tab w:val="left" w:pos="900"/>
        </w:tabs>
        <w:spacing w:after="90" w:line="268" w:lineRule="auto"/>
        <w:ind w:left="900" w:hanging="900"/>
      </w:pPr>
      <w:r>
        <w:rPr>
          <w:rFonts w:ascii="Consolas" w:eastAsia="Consolas" w:hAnsi="Consolas" w:cs="Consolas"/>
          <w:b/>
          <w:bCs/>
          <w:color w:val="0B3B5A"/>
          <w:sz w:val="20"/>
          <w:szCs w:val="20"/>
        </w:rPr>
        <w:t>5.3.1</w:t>
      </w:r>
      <w:r>
        <w:tab/>
        <w:t>Break each brief into discrete claims and score every claim against the reference.</w:t>
      </w:r>
    </w:p>
    <w:p w14:paraId="113F5A46" w14:textId="77777777" w:rsidR="007A3754" w:rsidRDefault="00000000">
      <w:pPr>
        <w:tabs>
          <w:tab w:val="left" w:pos="900"/>
        </w:tabs>
        <w:spacing w:after="90" w:line="268" w:lineRule="auto"/>
        <w:ind w:left="900" w:hanging="900"/>
      </w:pPr>
      <w:r>
        <w:rPr>
          <w:rFonts w:ascii="Consolas" w:eastAsia="Consolas" w:hAnsi="Consolas" w:cs="Consolas"/>
          <w:b/>
          <w:bCs/>
          <w:color w:val="0B3B5A"/>
          <w:sz w:val="20"/>
          <w:szCs w:val="20"/>
        </w:rPr>
        <w:lastRenderedPageBreak/>
        <w:t>5.3.2</w:t>
      </w:r>
      <w:r>
        <w:tab/>
        <w:t xml:space="preserve">Record a </w:t>
      </w:r>
      <w:r>
        <w:rPr>
          <w:b/>
          <w:bCs/>
        </w:rPr>
        <w:t>false-claim rate</w:t>
      </w:r>
      <w:r>
        <w:t xml:space="preserve"> separately from a </w:t>
      </w:r>
      <w:r>
        <w:rPr>
          <w:b/>
          <w:bCs/>
        </w:rPr>
        <w:t>recall</w:t>
      </w:r>
      <w:r>
        <w:t xml:space="preserve"> figure. A missed canonical fact is a recall problem; a confidently asserted false one is a different and worse failure.</w:t>
      </w:r>
    </w:p>
    <w:p w14:paraId="4676F2A4" w14:textId="77777777" w:rsidR="007A3754" w:rsidRDefault="00000000">
      <w:pPr>
        <w:tabs>
          <w:tab w:val="left" w:pos="900"/>
        </w:tabs>
        <w:spacing w:after="90" w:line="268" w:lineRule="auto"/>
        <w:ind w:left="900" w:hanging="900"/>
      </w:pPr>
      <w:r>
        <w:rPr>
          <w:rFonts w:ascii="Consolas" w:eastAsia="Consolas" w:hAnsi="Consolas" w:cs="Consolas"/>
          <w:b/>
          <w:bCs/>
          <w:color w:val="0B3B5A"/>
          <w:sz w:val="20"/>
          <w:szCs w:val="20"/>
        </w:rPr>
        <w:t>5.3.3</w:t>
      </w:r>
      <w:r>
        <w:tab/>
        <w:t xml:space="preserve">Where a brief makes a quantitative or computable claim, have the SME independently recompute it and report the correlation between system and expert values. Treat anything below the pre-registered correlation threshold as a </w:t>
      </w:r>
      <w:proofErr w:type="gramStart"/>
      <w:r>
        <w:t>fail</w:t>
      </w:r>
      <w:proofErr w:type="gramEnd"/>
      <w:r>
        <w:t xml:space="preserve"> for that item.</w:t>
      </w:r>
    </w:p>
    <w:p w14:paraId="5C4754CB" w14:textId="77777777" w:rsidR="007A3754" w:rsidRDefault="00000000">
      <w:pPr>
        <w:tabs>
          <w:tab w:val="left" w:pos="900"/>
        </w:tabs>
        <w:spacing w:after="90" w:line="268" w:lineRule="auto"/>
        <w:ind w:left="900" w:hanging="900"/>
      </w:pPr>
      <w:r>
        <w:rPr>
          <w:rFonts w:ascii="Consolas" w:eastAsia="Consolas" w:hAnsi="Consolas" w:cs="Consolas"/>
          <w:b/>
          <w:bCs/>
          <w:color w:val="0B3B5A"/>
          <w:sz w:val="20"/>
          <w:szCs w:val="20"/>
        </w:rPr>
        <w:t>5.3.4</w:t>
      </w:r>
      <w:r>
        <w:tab/>
        <w:t>Promote any brief that clears the bar into the gold-standard pool as a new exemplar.</w:t>
      </w:r>
    </w:p>
    <w:p w14:paraId="378CDA12" w14:textId="77777777" w:rsidR="007A3754" w:rsidRDefault="00000000">
      <w:pPr>
        <w:spacing w:after="130" w:line="268" w:lineRule="auto"/>
        <w:ind w:left="360"/>
      </w:pPr>
      <w:r>
        <w:rPr>
          <w:b/>
          <w:bCs/>
          <w:i/>
          <w:iCs/>
          <w:color w:val="555555"/>
        </w:rPr>
        <w:t xml:space="preserve">Note. </w:t>
      </w:r>
      <w:r>
        <w:t xml:space="preserve">The mock brief pool used in training penalizes </w:t>
      </w:r>
      <w:r>
        <w:rPr>
          <w:i/>
          <w:iCs/>
        </w:rPr>
        <w:t>evasiveness</w:t>
      </w:r>
      <w:r>
        <w:t>, not falsehood: the low-quality variants hedge and omit identifiers but are never made factually wrong, because a deliberately incorrect brief would turn the training set into a misinformation source.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A3754" w14:paraId="6DA14823" w14:textId="77777777">
        <w:tblPrEx>
          <w:tblCellMar>
            <w:top w:w="0" w:type="dxa"/>
            <w:bottom w:w="0" w:type="dxa"/>
          </w:tblCellMar>
        </w:tblPrEx>
        <w:tc>
          <w:tcPr>
            <w:tcW w:w="9360" w:type="dxa"/>
            <w:tcBorders>
              <w:top w:val="single" w:sz="4" w:space="0" w:color="0B3B5A"/>
              <w:left w:val="single" w:sz="18" w:space="0" w:color="0B3B5A"/>
              <w:bottom w:val="single" w:sz="4" w:space="0" w:color="0B3B5A"/>
              <w:right w:val="single" w:sz="4" w:space="0" w:color="0B3B5A"/>
            </w:tcBorders>
            <w:shd w:val="clear" w:color="auto" w:fill="E8F1E9"/>
            <w:tcMar>
              <w:top w:w="120" w:type="dxa"/>
              <w:left w:w="180" w:type="dxa"/>
              <w:bottom w:w="120" w:type="dxa"/>
              <w:right w:w="160" w:type="dxa"/>
            </w:tcMar>
          </w:tcPr>
          <w:p w14:paraId="3196B4B7" w14:textId="77777777" w:rsidR="007A3754" w:rsidRDefault="00000000">
            <w:pPr>
              <w:spacing w:after="60"/>
            </w:pPr>
            <w:r>
              <w:rPr>
                <w:b/>
                <w:bCs/>
                <w:caps/>
                <w:color w:val="0B3B5A"/>
                <w:sz w:val="20"/>
                <w:szCs w:val="20"/>
              </w:rPr>
              <w:t>Acceptance criteria</w:t>
            </w:r>
          </w:p>
          <w:p w14:paraId="7D9F9197" w14:textId="77777777" w:rsidR="007A3754" w:rsidRDefault="00000000">
            <w:pPr>
              <w:spacing w:line="268" w:lineRule="auto"/>
            </w:pPr>
            <w:r>
              <w:t>False-claim rate at or below the pre-registered ceiling (this is the hard gate), recall of canonical facts at or above threshold, full citation grounding with zero fabricated identifiers, and expert-</w:t>
            </w:r>
            <w:proofErr w:type="spellStart"/>
            <w:r>
              <w:t>recomputation</w:t>
            </w:r>
            <w:proofErr w:type="spellEnd"/>
            <w:r>
              <w:t xml:space="preserve"> correlation above threshold on computable claims.</w:t>
            </w:r>
          </w:p>
        </w:tc>
      </w:tr>
    </w:tbl>
    <w:p w14:paraId="5F595156" w14:textId="77777777" w:rsidR="007A3754" w:rsidRDefault="00000000">
      <w:pPr>
        <w:pStyle w:val="Heading2"/>
      </w:pPr>
      <w:r>
        <w:t>5.4   Negative controls and adversarial rejection</w:t>
      </w:r>
    </w:p>
    <w:p w14:paraId="00923C5E" w14:textId="77777777" w:rsidR="007A3754" w:rsidRDefault="00000000">
      <w:pPr>
        <w:tabs>
          <w:tab w:val="left" w:pos="900"/>
        </w:tabs>
        <w:spacing w:after="90" w:line="268" w:lineRule="auto"/>
        <w:ind w:left="900" w:hanging="900"/>
      </w:pPr>
      <w:r>
        <w:rPr>
          <w:rFonts w:ascii="Consolas" w:eastAsia="Consolas" w:hAnsi="Consolas" w:cs="Consolas"/>
          <w:b/>
          <w:bCs/>
          <w:color w:val="0B3B5A"/>
          <w:sz w:val="20"/>
          <w:szCs w:val="20"/>
        </w:rPr>
        <w:t>5.4.1</w:t>
      </w:r>
      <w:r>
        <w:tab/>
        <w:t>Run the full adversarial battery from Section 4.2 through the same pipeline as real queries.</w:t>
      </w:r>
    </w:p>
    <w:p w14:paraId="052299C0" w14:textId="77777777" w:rsidR="007A3754" w:rsidRDefault="00000000">
      <w:pPr>
        <w:tabs>
          <w:tab w:val="left" w:pos="900"/>
        </w:tabs>
        <w:spacing w:after="90" w:line="268" w:lineRule="auto"/>
        <w:ind w:left="900" w:hanging="900"/>
      </w:pPr>
      <w:r>
        <w:rPr>
          <w:rFonts w:ascii="Consolas" w:eastAsia="Consolas" w:hAnsi="Consolas" w:cs="Consolas"/>
          <w:b/>
          <w:bCs/>
          <w:color w:val="0B3B5A"/>
          <w:sz w:val="20"/>
          <w:szCs w:val="20"/>
        </w:rPr>
        <w:t>5.4.2</w:t>
      </w:r>
      <w:r>
        <w:tab/>
        <w:t xml:space="preserve">Score each case on </w:t>
      </w:r>
      <w:r>
        <w:rPr>
          <w:b/>
          <w:bCs/>
        </w:rPr>
        <w:t>appropriate-rejection rate</w:t>
      </w:r>
      <w:r>
        <w:t>: did the system flag the problem (unknown symbol, ambiguity, false premise, outdated finding) rather than produce a confident brief?</w:t>
      </w:r>
    </w:p>
    <w:p w14:paraId="1B7105B0" w14:textId="77777777" w:rsidR="007A3754" w:rsidRDefault="00000000">
      <w:pPr>
        <w:tabs>
          <w:tab w:val="left" w:pos="900"/>
        </w:tabs>
        <w:spacing w:after="90" w:line="268" w:lineRule="auto"/>
        <w:ind w:left="900" w:hanging="900"/>
      </w:pPr>
      <w:r>
        <w:rPr>
          <w:rFonts w:ascii="Consolas" w:eastAsia="Consolas" w:hAnsi="Consolas" w:cs="Consolas"/>
          <w:b/>
          <w:bCs/>
          <w:color w:val="0B3B5A"/>
          <w:sz w:val="20"/>
          <w:szCs w:val="20"/>
        </w:rPr>
        <w:t>5.4.3</w:t>
      </w:r>
      <w:r>
        <w:tab/>
        <w:t>Log every case where the system answered confidently on an input that should have been rejected; these are the highest-priority defects.</w:t>
      </w:r>
    </w:p>
    <w:p w14:paraId="59F3F2FC" w14:textId="77777777" w:rsidR="007A3754" w:rsidRDefault="00000000">
      <w:pPr>
        <w:spacing w:after="130" w:line="268" w:lineRule="auto"/>
        <w:ind w:left="360"/>
      </w:pPr>
      <w:r>
        <w:rPr>
          <w:b/>
          <w:bCs/>
          <w:i/>
          <w:iCs/>
          <w:color w:val="555555"/>
        </w:rPr>
        <w:t xml:space="preserve">Note. </w:t>
      </w:r>
      <w:r>
        <w:t xml:space="preserve">A negative control is the single most informative test here, and the one most </w:t>
      </w:r>
      <w:proofErr w:type="gramStart"/>
      <w:r>
        <w:t>demonstrations</w:t>
      </w:r>
      <w:proofErr w:type="gramEnd"/>
      <w:r>
        <w:t xml:space="preserve"> skip. The metric is not accuracy on these </w:t>
      </w:r>
      <w:proofErr w:type="gramStart"/>
      <w:r>
        <w:t>inputs,</w:t>
      </w:r>
      <w:proofErr w:type="gramEnd"/>
      <w:r>
        <w:t xml:space="preserve"> it is whether the system knows to refuse.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A3754" w14:paraId="1F3DE10C" w14:textId="77777777">
        <w:tblPrEx>
          <w:tblCellMar>
            <w:top w:w="0" w:type="dxa"/>
            <w:bottom w:w="0" w:type="dxa"/>
          </w:tblCellMar>
        </w:tblPrEx>
        <w:tc>
          <w:tcPr>
            <w:tcW w:w="9360" w:type="dxa"/>
            <w:tcBorders>
              <w:top w:val="single" w:sz="4" w:space="0" w:color="0B3B5A"/>
              <w:left w:val="single" w:sz="18" w:space="0" w:color="0B3B5A"/>
              <w:bottom w:val="single" w:sz="4" w:space="0" w:color="0B3B5A"/>
              <w:right w:val="single" w:sz="4" w:space="0" w:color="0B3B5A"/>
            </w:tcBorders>
            <w:shd w:val="clear" w:color="auto" w:fill="E8F1E9"/>
            <w:tcMar>
              <w:top w:w="120" w:type="dxa"/>
              <w:left w:w="180" w:type="dxa"/>
              <w:bottom w:w="120" w:type="dxa"/>
              <w:right w:w="160" w:type="dxa"/>
            </w:tcMar>
          </w:tcPr>
          <w:p w14:paraId="7EBD9F06" w14:textId="77777777" w:rsidR="007A3754" w:rsidRDefault="00000000">
            <w:pPr>
              <w:spacing w:after="60"/>
            </w:pPr>
            <w:r>
              <w:rPr>
                <w:b/>
                <w:bCs/>
                <w:caps/>
                <w:color w:val="0B3B5A"/>
                <w:sz w:val="20"/>
                <w:szCs w:val="20"/>
              </w:rPr>
              <w:t>Acceptance criteria</w:t>
            </w:r>
          </w:p>
          <w:p w14:paraId="4B8A99DF" w14:textId="77777777" w:rsidR="007A3754" w:rsidRDefault="00000000">
            <w:pPr>
              <w:spacing w:line="268" w:lineRule="auto"/>
            </w:pPr>
            <w:r>
              <w:t>Appropriate-rejection rate at or above threshold across all four adversarial categories, with no confident answer to a non-existent gene.</w:t>
            </w:r>
          </w:p>
        </w:tc>
      </w:tr>
    </w:tbl>
    <w:p w14:paraId="23EF4574" w14:textId="77777777" w:rsidR="007A3754" w:rsidRDefault="00000000">
      <w:pPr>
        <w:pStyle w:val="Heading2"/>
      </w:pPr>
      <w:r>
        <w:t>5.5   Calibration</w:t>
      </w:r>
    </w:p>
    <w:p w14:paraId="2D48408B" w14:textId="77777777" w:rsidR="007A3754" w:rsidRDefault="00000000">
      <w:pPr>
        <w:tabs>
          <w:tab w:val="left" w:pos="900"/>
        </w:tabs>
        <w:spacing w:after="90" w:line="268" w:lineRule="auto"/>
        <w:ind w:left="900" w:hanging="900"/>
      </w:pPr>
      <w:r>
        <w:rPr>
          <w:rFonts w:ascii="Consolas" w:eastAsia="Consolas" w:hAnsi="Consolas" w:cs="Consolas"/>
          <w:b/>
          <w:bCs/>
          <w:color w:val="0B3B5A"/>
          <w:sz w:val="20"/>
          <w:szCs w:val="20"/>
        </w:rPr>
        <w:t>5.5.1</w:t>
      </w:r>
      <w:r>
        <w:tab/>
        <w:t>Using the Layer-3 scored outputs, bin briefs by the confidence the system expressed (implicit in tone, or explicit if instrumented).</w:t>
      </w:r>
    </w:p>
    <w:p w14:paraId="47E0E053" w14:textId="77777777" w:rsidR="007A3754" w:rsidRDefault="00000000">
      <w:pPr>
        <w:tabs>
          <w:tab w:val="left" w:pos="900"/>
        </w:tabs>
        <w:spacing w:after="90" w:line="268" w:lineRule="auto"/>
        <w:ind w:left="900" w:hanging="900"/>
      </w:pPr>
      <w:r>
        <w:rPr>
          <w:rFonts w:ascii="Consolas" w:eastAsia="Consolas" w:hAnsi="Consolas" w:cs="Consolas"/>
          <w:b/>
          <w:bCs/>
          <w:color w:val="0B3B5A"/>
          <w:sz w:val="20"/>
          <w:szCs w:val="20"/>
        </w:rPr>
        <w:t>5.5.2</w:t>
      </w:r>
      <w:r>
        <w:tab/>
        <w:t>Plot stated confidence against measured accuracy as a reliability diagram and report the calibration error.</w:t>
      </w:r>
    </w:p>
    <w:p w14:paraId="190AA31A" w14:textId="77777777" w:rsidR="007A3754" w:rsidRDefault="00000000">
      <w:pPr>
        <w:spacing w:after="130" w:line="268" w:lineRule="auto"/>
        <w:ind w:left="360"/>
      </w:pPr>
      <w:r>
        <w:rPr>
          <w:b/>
          <w:bCs/>
          <w:i/>
          <w:iCs/>
          <w:color w:val="555555"/>
        </w:rPr>
        <w:t xml:space="preserve">Note. </w:t>
      </w:r>
      <w:r>
        <w:t>Expect poor calibration in the first round; tone-level confidence rarely tracks correctness until confidence is explicitly instrumented. Reporting that honestly is the point.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A3754" w14:paraId="7D1E2AE7" w14:textId="77777777">
        <w:tblPrEx>
          <w:tblCellMar>
            <w:top w:w="0" w:type="dxa"/>
            <w:bottom w:w="0" w:type="dxa"/>
          </w:tblCellMar>
        </w:tblPrEx>
        <w:tc>
          <w:tcPr>
            <w:tcW w:w="9360" w:type="dxa"/>
            <w:tcBorders>
              <w:top w:val="single" w:sz="4" w:space="0" w:color="0B3B5A"/>
              <w:left w:val="single" w:sz="18" w:space="0" w:color="0B3B5A"/>
              <w:bottom w:val="single" w:sz="4" w:space="0" w:color="0B3B5A"/>
              <w:right w:val="single" w:sz="4" w:space="0" w:color="0B3B5A"/>
            </w:tcBorders>
            <w:shd w:val="clear" w:color="auto" w:fill="E8F1E9"/>
            <w:tcMar>
              <w:top w:w="120" w:type="dxa"/>
              <w:left w:w="180" w:type="dxa"/>
              <w:bottom w:w="120" w:type="dxa"/>
              <w:right w:w="160" w:type="dxa"/>
            </w:tcMar>
          </w:tcPr>
          <w:p w14:paraId="481FD2D8" w14:textId="77777777" w:rsidR="007A3754" w:rsidRDefault="00000000">
            <w:pPr>
              <w:spacing w:after="60"/>
            </w:pPr>
            <w:r>
              <w:rPr>
                <w:b/>
                <w:bCs/>
                <w:caps/>
                <w:color w:val="0B3B5A"/>
                <w:sz w:val="20"/>
                <w:szCs w:val="20"/>
              </w:rPr>
              <w:t>Acceptance criteria</w:t>
            </w:r>
          </w:p>
          <w:p w14:paraId="07E87D5E" w14:textId="77777777" w:rsidR="007A3754" w:rsidRDefault="00000000">
            <w:pPr>
              <w:spacing w:line="268" w:lineRule="auto"/>
            </w:pPr>
            <w:r>
              <w:t>Calibration error reported and trending down across model versions. This layer is diagnostic rather than pass/fail in the first cycle.</w:t>
            </w:r>
          </w:p>
        </w:tc>
      </w:tr>
    </w:tbl>
    <w:p w14:paraId="0960E31F" w14:textId="77777777" w:rsidR="007A3754" w:rsidRDefault="00000000">
      <w:pPr>
        <w:pStyle w:val="Heading2"/>
      </w:pPr>
      <w:r>
        <w:t>5.6   Edge validation through the rate-the-edge loop</w:t>
      </w:r>
    </w:p>
    <w:p w14:paraId="64F5D1D5" w14:textId="77777777" w:rsidR="007A3754" w:rsidRDefault="00000000">
      <w:pPr>
        <w:spacing w:after="140" w:line="272" w:lineRule="auto"/>
      </w:pPr>
      <w:r>
        <w:lastRenderedPageBreak/>
        <w:t>The network doubles as a benchmarking instrument. Every edge is a model-proposed gene–gene relationship anchored by the citations the brief surfaces, and every SME rating is a labeled judgement on it.</w:t>
      </w:r>
    </w:p>
    <w:p w14:paraId="457FD3B6" w14:textId="77777777" w:rsidR="007A3754" w:rsidRDefault="00000000">
      <w:pPr>
        <w:tabs>
          <w:tab w:val="left" w:pos="900"/>
        </w:tabs>
        <w:spacing w:after="90" w:line="268" w:lineRule="auto"/>
        <w:ind w:left="900" w:hanging="900"/>
      </w:pPr>
      <w:r>
        <w:rPr>
          <w:rFonts w:ascii="Consolas" w:eastAsia="Consolas" w:hAnsi="Consolas" w:cs="Consolas"/>
          <w:b/>
          <w:bCs/>
          <w:color w:val="0B3B5A"/>
          <w:sz w:val="20"/>
          <w:szCs w:val="20"/>
        </w:rPr>
        <w:t>5.6.1</w:t>
      </w:r>
      <w:r>
        <w:tab/>
        <w:t>Have independent SMEs rate the tentative edges; compute inter-rater agreement to confirm experts converge on which edges are real versus literature co-occurrence.</w:t>
      </w:r>
    </w:p>
    <w:p w14:paraId="53E9C635" w14:textId="77777777" w:rsidR="007A3754" w:rsidRDefault="00000000">
      <w:pPr>
        <w:tabs>
          <w:tab w:val="left" w:pos="900"/>
        </w:tabs>
        <w:spacing w:after="90" w:line="268" w:lineRule="auto"/>
        <w:ind w:left="900" w:hanging="900"/>
      </w:pPr>
      <w:r>
        <w:rPr>
          <w:rFonts w:ascii="Consolas" w:eastAsia="Consolas" w:hAnsi="Consolas" w:cs="Consolas"/>
          <w:b/>
          <w:bCs/>
          <w:color w:val="0B3B5A"/>
          <w:sz w:val="20"/>
          <w:szCs w:val="20"/>
        </w:rPr>
        <w:t>5.6.2</w:t>
      </w:r>
      <w:r>
        <w:tab/>
        <w:t>Compare the model’s edge confidence against expert ratings (model-expert agreement).</w:t>
      </w:r>
    </w:p>
    <w:p w14:paraId="4A65B7F8" w14:textId="77777777" w:rsidR="007A3754" w:rsidRDefault="00000000">
      <w:pPr>
        <w:tabs>
          <w:tab w:val="left" w:pos="900"/>
        </w:tabs>
        <w:spacing w:after="90" w:line="268" w:lineRule="auto"/>
        <w:ind w:left="900" w:hanging="900"/>
      </w:pPr>
      <w:r>
        <w:rPr>
          <w:rFonts w:ascii="Consolas" w:eastAsia="Consolas" w:hAnsi="Consolas" w:cs="Consolas"/>
          <w:b/>
          <w:bCs/>
          <w:color w:val="0B3B5A"/>
          <w:sz w:val="20"/>
          <w:szCs w:val="20"/>
        </w:rPr>
        <w:t>5.6.3</w:t>
      </w:r>
      <w:r>
        <w:tab/>
        <w:t xml:space="preserve">Run a held-out enrichment check: confirm highly rated edges are enriched for interactions independently supported in resources such as STRING or </w:t>
      </w:r>
      <w:proofErr w:type="spellStart"/>
      <w:r>
        <w:t>BioGRID</w:t>
      </w:r>
      <w:proofErr w:type="spellEnd"/>
      <w:r>
        <w:t>, while low-rated edges are enriched for co-mention without functional support.</w:t>
      </w:r>
    </w:p>
    <w:p w14:paraId="3B4F8155" w14:textId="77777777" w:rsidR="007A3754" w:rsidRDefault="00000000">
      <w:pPr>
        <w:tabs>
          <w:tab w:val="left" w:pos="900"/>
        </w:tabs>
        <w:spacing w:after="90" w:line="268" w:lineRule="auto"/>
        <w:ind w:left="900" w:hanging="900"/>
      </w:pPr>
      <w:r>
        <w:rPr>
          <w:rFonts w:ascii="Consolas" w:eastAsia="Consolas" w:hAnsi="Consolas" w:cs="Consolas"/>
          <w:b/>
          <w:bCs/>
          <w:color w:val="0B3B5A"/>
          <w:sz w:val="20"/>
          <w:szCs w:val="20"/>
        </w:rPr>
        <w:t>5.6.4</w:t>
      </w:r>
      <w:r>
        <w:tab/>
        <w:t xml:space="preserve">Resolve each tentative edge to confirmed, downgraded, or removed, and fill the empty </w:t>
      </w:r>
      <w:proofErr w:type="spellStart"/>
      <w:r>
        <w:rPr>
          <w:rFonts w:ascii="Consolas" w:eastAsia="Consolas" w:hAnsi="Consolas" w:cs="Consolas"/>
          <w:sz w:val="20"/>
          <w:szCs w:val="20"/>
        </w:rPr>
        <w:t>pmids</w:t>
      </w:r>
      <w:proofErr w:type="spellEnd"/>
      <w:r>
        <w:t xml:space="preserve"> field on confirmation.</w:t>
      </w:r>
    </w:p>
    <w:p w14:paraId="7421645B" w14:textId="77777777" w:rsidR="007A3754" w:rsidRDefault="00000000">
      <w:pPr>
        <w:spacing w:after="130" w:line="268" w:lineRule="auto"/>
        <w:ind w:left="360"/>
      </w:pPr>
      <w:r>
        <w:rPr>
          <w:b/>
          <w:bCs/>
          <w:i/>
          <w:iCs/>
          <w:color w:val="555555"/>
        </w:rPr>
        <w:t xml:space="preserve">Note. </w:t>
      </w:r>
      <w:r>
        <w:t>This is deliberate design: the dotted edges are hypotheses staged for the expert, and the citation slot is left empty precisely so that validation, not generation, fills it. Over time the loop yields a labeled dataset of expert-judged biological edges with value in its own right.</w:t>
      </w:r>
    </w:p>
    <w:p w14:paraId="4013E607" w14:textId="77777777" w:rsidR="007A3754" w:rsidRDefault="00000000">
      <w:pPr>
        <w:pStyle w:val="Heading1"/>
      </w:pPr>
      <w:r>
        <w:t>6   Release decision</w:t>
      </w:r>
    </w:p>
    <w:p w14:paraId="566C74D5" w14:textId="77777777" w:rsidR="007A3754" w:rsidRDefault="00000000">
      <w:pPr>
        <w:spacing w:after="140" w:line="272" w:lineRule="auto"/>
      </w:pPr>
      <w:r>
        <w:t>A model version is cleared for use when it meets the per-layer acceptance criteria above, with the following hard gates:</w:t>
      </w:r>
    </w:p>
    <w:p w14:paraId="19CAE480" w14:textId="77777777" w:rsidR="007A3754" w:rsidRDefault="00000000">
      <w:pPr>
        <w:pStyle w:val="ListParagraph"/>
        <w:numPr>
          <w:ilvl w:val="0"/>
          <w:numId w:val="2"/>
        </w:numPr>
        <w:spacing w:after="80" w:line="266" w:lineRule="auto"/>
      </w:pPr>
      <w:r>
        <w:rPr>
          <w:b/>
          <w:bCs/>
        </w:rPr>
        <w:t xml:space="preserve">Layer 1 gate: </w:t>
      </w:r>
      <w:r>
        <w:t>no systematic retrieval or parse failure.</w:t>
      </w:r>
    </w:p>
    <w:p w14:paraId="17ACC32A" w14:textId="77777777" w:rsidR="007A3754" w:rsidRDefault="00000000">
      <w:pPr>
        <w:pStyle w:val="ListParagraph"/>
        <w:numPr>
          <w:ilvl w:val="0"/>
          <w:numId w:val="2"/>
        </w:numPr>
        <w:spacing w:after="80" w:line="266" w:lineRule="auto"/>
      </w:pPr>
      <w:r>
        <w:rPr>
          <w:b/>
          <w:bCs/>
        </w:rPr>
        <w:t xml:space="preserve">Layer 3 gate: </w:t>
      </w:r>
      <w:r>
        <w:t>false-claim rate at or below the pre-registered ceiling and zero fabricated identifiers.</w:t>
      </w:r>
    </w:p>
    <w:p w14:paraId="59C7F2BB" w14:textId="77777777" w:rsidR="007A3754" w:rsidRDefault="00000000">
      <w:pPr>
        <w:pStyle w:val="ListParagraph"/>
        <w:numPr>
          <w:ilvl w:val="0"/>
          <w:numId w:val="2"/>
        </w:numPr>
        <w:spacing w:after="80" w:line="266" w:lineRule="auto"/>
      </w:pPr>
      <w:r>
        <w:rPr>
          <w:b/>
          <w:bCs/>
        </w:rPr>
        <w:t xml:space="preserve">Adversarial gate: </w:t>
      </w:r>
      <w:r>
        <w:t>no confident brief produced for a non-existent gene.</w:t>
      </w:r>
    </w:p>
    <w:p w14:paraId="66B7CCEB" w14:textId="77777777" w:rsidR="007A3754" w:rsidRDefault="00000000">
      <w:pPr>
        <w:spacing w:after="140" w:line="272" w:lineRule="auto"/>
      </w:pPr>
      <w:r>
        <w:t xml:space="preserve">Calibration and trajectory scores are recorded and must trend in the right direction across </w:t>
      </w:r>
      <w:proofErr w:type="gramStart"/>
      <w:r>
        <w:t>versions, but</w:t>
      </w:r>
      <w:proofErr w:type="gramEnd"/>
      <w:r>
        <w:t xml:space="preserve"> are not first-cycle pass/fail.</w:t>
      </w:r>
    </w:p>
    <w:p w14:paraId="343D3D2C" w14:textId="77777777" w:rsidR="007A3754" w:rsidRDefault="00000000">
      <w:pPr>
        <w:pStyle w:val="Heading1"/>
      </w:pPr>
      <w:r>
        <w:t>7   Benchmarks to run first</w:t>
      </w:r>
    </w:p>
    <w:p w14:paraId="2C6086BE" w14:textId="77777777" w:rsidR="007A3754" w:rsidRDefault="00000000">
      <w:pPr>
        <w:pStyle w:val="Heading2"/>
      </w:pPr>
      <w:r>
        <w:t>7.1   Benchmark A: Gene-brief gold-standard evaluation</w:t>
      </w:r>
    </w:p>
    <w:p w14:paraId="0E1E04FD" w14:textId="77777777" w:rsidR="007A3754" w:rsidRDefault="00000000">
      <w:pPr>
        <w:spacing w:after="140" w:line="272" w:lineRule="auto"/>
      </w:pPr>
      <w:r>
        <w:t>Score the system’s briefs for the ~30 gold-standard genes (Section 4.1) on factual accuracy, recall of canonical facts, false-claim rate, and citation grounding. Run this first: it is the cheapest credible measurement and the gold-standard briefs double as new exemplars.</w:t>
      </w:r>
    </w:p>
    <w:p w14:paraId="30B208D8" w14:textId="77777777" w:rsidR="007A3754" w:rsidRDefault="00000000">
      <w:pPr>
        <w:pStyle w:val="Heading2"/>
      </w:pPr>
      <w:r>
        <w:t>7.2   Benchmark B: Adversarial rejection</w:t>
      </w:r>
    </w:p>
    <w:p w14:paraId="390A2361" w14:textId="77777777" w:rsidR="007A3754" w:rsidRDefault="00000000">
      <w:pPr>
        <w:spacing w:after="140" w:line="272" w:lineRule="auto"/>
      </w:pPr>
      <w:r>
        <w:t>Score the adversarial battery (Section 4.2) on appropriate-rejection rate and willingness to flag uncertainty. This is the test most aligned with real needs and the one most worth publishing, and also the one the current system is most likely to fail, which is exactly why it is worth reporting.</w:t>
      </w:r>
    </w:p>
    <w:p w14:paraId="54FC2311" w14:textId="77777777" w:rsidR="007A3754" w:rsidRDefault="00000000">
      <w:pPr>
        <w:pStyle w:val="Heading1"/>
      </w:pPr>
      <w:r>
        <w:t>8   Known limitations and caveats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A3754" w14:paraId="7A49F5B5" w14:textId="77777777">
        <w:tblPrEx>
          <w:tblCellMar>
            <w:top w:w="0" w:type="dxa"/>
            <w:bottom w:w="0" w:type="dxa"/>
          </w:tblCellMar>
        </w:tblPrEx>
        <w:tc>
          <w:tcPr>
            <w:tcW w:w="9360" w:type="dxa"/>
            <w:tcBorders>
              <w:top w:val="single" w:sz="4" w:space="0" w:color="B54708"/>
              <w:left w:val="single" w:sz="18" w:space="0" w:color="B54708"/>
              <w:bottom w:val="single" w:sz="4" w:space="0" w:color="B54708"/>
              <w:right w:val="single" w:sz="4" w:space="0" w:color="B54708"/>
            </w:tcBorders>
            <w:shd w:val="clear" w:color="auto" w:fill="FBF1E4"/>
            <w:tcMar>
              <w:top w:w="120" w:type="dxa"/>
              <w:left w:w="180" w:type="dxa"/>
              <w:bottom w:w="120" w:type="dxa"/>
              <w:right w:w="160" w:type="dxa"/>
            </w:tcMar>
          </w:tcPr>
          <w:p w14:paraId="67DA336B" w14:textId="77777777" w:rsidR="007A3754" w:rsidRDefault="00000000">
            <w:pPr>
              <w:spacing w:after="60"/>
            </w:pPr>
            <w:r>
              <w:rPr>
                <w:b/>
                <w:bCs/>
                <w:caps/>
                <w:color w:val="B54708"/>
                <w:sz w:val="20"/>
                <w:szCs w:val="20"/>
              </w:rPr>
              <w:t>Read before over-interpreting results</w:t>
            </w:r>
          </w:p>
          <w:p w14:paraId="38F36D75" w14:textId="77777777" w:rsidR="007A3754" w:rsidRDefault="00000000">
            <w:pPr>
              <w:spacing w:after="60" w:line="268" w:lineRule="auto"/>
            </w:pPr>
            <w:r>
              <w:t>The gold-standard set is small (about 30 genes) and curated by one expert, so inter-annotator agreement on the references themselves is unmeasured until a second rater is added.</w:t>
            </w:r>
          </w:p>
          <w:p w14:paraId="6DBAF652" w14:textId="77777777" w:rsidR="007A3754" w:rsidRDefault="00000000">
            <w:pPr>
              <w:spacing w:after="60" w:line="268" w:lineRule="auto"/>
            </w:pPr>
            <w:r>
              <w:lastRenderedPageBreak/>
              <w:t>Trajectory grading (Layer 2) is subjective and should not be reported as a single headline number.</w:t>
            </w:r>
          </w:p>
          <w:p w14:paraId="3888994E" w14:textId="77777777" w:rsidR="007A3754" w:rsidRDefault="00000000">
            <w:pPr>
              <w:spacing w:after="60" w:line="268" w:lineRule="auto"/>
            </w:pPr>
            <w:r>
              <w:t xml:space="preserve">Held-out enrichment treats STRING and </w:t>
            </w:r>
            <w:proofErr w:type="spellStart"/>
            <w:r>
              <w:t>BioGRID</w:t>
            </w:r>
            <w:proofErr w:type="spellEnd"/>
            <w:r>
              <w:t xml:space="preserve"> as clean ground truth, which they are not; they carry their own literature-co-occurrence contamination, so enrichment measures agreement with a noisy oracle, not truth.</w:t>
            </w:r>
          </w:p>
          <w:p w14:paraId="6B6E265E" w14:textId="77777777" w:rsidR="007A3754" w:rsidRDefault="00000000">
            <w:pPr>
              <w:spacing w:after="60" w:line="268" w:lineRule="auto"/>
            </w:pPr>
            <w:r>
              <w:t>Tone-level calibration is shaky by construction until confidence is explicitly instrumented.</w:t>
            </w:r>
          </w:p>
          <w:p w14:paraId="7BC2C69A" w14:textId="77777777" w:rsidR="007A3754" w:rsidRDefault="00000000">
            <w:pPr>
              <w:spacing w:line="268" w:lineRule="auto"/>
            </w:pPr>
            <w:r>
              <w:t>None of these sink the program. They set the honest ceiling on what the first round of numbers can claim.</w:t>
            </w:r>
          </w:p>
        </w:tc>
      </w:tr>
    </w:tbl>
    <w:p w14:paraId="02641306" w14:textId="77777777" w:rsidR="007A3754" w:rsidRDefault="00000000">
      <w:pPr>
        <w:pStyle w:val="Heading1"/>
      </w:pPr>
      <w:r>
        <w:lastRenderedPageBreak/>
        <w:t>9   Records and data outputs</w:t>
      </w:r>
    </w:p>
    <w:p w14:paraId="543A80CE" w14:textId="77777777" w:rsidR="007A3754" w:rsidRDefault="00000000">
      <w:pPr>
        <w:spacing w:after="140" w:line="272" w:lineRule="auto"/>
      </w:pPr>
      <w:r>
        <w:t>Each evaluation cycle should produce and retain:</w:t>
      </w:r>
    </w:p>
    <w:p w14:paraId="636C3E72" w14:textId="77777777" w:rsidR="007A3754" w:rsidRDefault="00000000">
      <w:pPr>
        <w:pStyle w:val="ListParagraph"/>
        <w:numPr>
          <w:ilvl w:val="0"/>
          <w:numId w:val="2"/>
        </w:numPr>
        <w:spacing w:after="80" w:line="266" w:lineRule="auto"/>
      </w:pPr>
      <w:r>
        <w:t>Per-source precision/recall tables (Layer 1).</w:t>
      </w:r>
    </w:p>
    <w:p w14:paraId="4AA48390" w14:textId="77777777" w:rsidR="007A3754" w:rsidRDefault="00000000">
      <w:pPr>
        <w:pStyle w:val="ListParagraph"/>
        <w:numPr>
          <w:ilvl w:val="0"/>
          <w:numId w:val="2"/>
        </w:numPr>
        <w:spacing w:after="80" w:line="266" w:lineRule="auto"/>
      </w:pPr>
      <w:r>
        <w:t>Trajectory transcripts and SME composite scores (Layer 2).</w:t>
      </w:r>
    </w:p>
    <w:p w14:paraId="24581796" w14:textId="77777777" w:rsidR="007A3754" w:rsidRDefault="00000000">
      <w:pPr>
        <w:pStyle w:val="ListParagraph"/>
        <w:numPr>
          <w:ilvl w:val="0"/>
          <w:numId w:val="2"/>
        </w:numPr>
        <w:spacing w:after="80" w:line="266" w:lineRule="auto"/>
      </w:pPr>
      <w:r>
        <w:t xml:space="preserve">Per-claim scoring sheets, false-claim log, and </w:t>
      </w:r>
      <w:proofErr w:type="spellStart"/>
      <w:r>
        <w:t>recomputation</w:t>
      </w:r>
      <w:proofErr w:type="spellEnd"/>
      <w:r>
        <w:t xml:space="preserve"> correlations (Layer 3).</w:t>
      </w:r>
    </w:p>
    <w:p w14:paraId="628D9B06" w14:textId="77777777" w:rsidR="007A3754" w:rsidRDefault="00000000">
      <w:pPr>
        <w:pStyle w:val="ListParagraph"/>
        <w:numPr>
          <w:ilvl w:val="0"/>
          <w:numId w:val="2"/>
        </w:numPr>
        <w:spacing w:after="80" w:line="266" w:lineRule="auto"/>
      </w:pPr>
      <w:r>
        <w:t>Adversarial-battery results with the confident-failure log (Section 5.4).</w:t>
      </w:r>
    </w:p>
    <w:p w14:paraId="6D812498" w14:textId="77777777" w:rsidR="007A3754" w:rsidRDefault="00000000">
      <w:pPr>
        <w:pStyle w:val="ListParagraph"/>
        <w:numPr>
          <w:ilvl w:val="0"/>
          <w:numId w:val="2"/>
        </w:numPr>
        <w:spacing w:after="80" w:line="266" w:lineRule="auto"/>
      </w:pPr>
      <w:r>
        <w:t>Reliability diagram and calibration error (Section 5.5).</w:t>
      </w:r>
    </w:p>
    <w:p w14:paraId="0E65DF3F" w14:textId="77777777" w:rsidR="007A3754" w:rsidRDefault="00000000">
      <w:pPr>
        <w:pStyle w:val="ListParagraph"/>
        <w:numPr>
          <w:ilvl w:val="0"/>
          <w:numId w:val="2"/>
        </w:numPr>
        <w:spacing w:after="80" w:line="266" w:lineRule="auto"/>
      </w:pPr>
      <w:r>
        <w:t>Edge-rating exports and resolved-edge log from the rate-the-edge loop (Section 5.6).</w:t>
      </w:r>
    </w:p>
    <w:p w14:paraId="7532294F" w14:textId="77777777" w:rsidR="007A3754" w:rsidRDefault="00000000">
      <w:pPr>
        <w:spacing w:after="120"/>
      </w:pPr>
      <w:r>
        <w:t xml:space="preserve"> </w:t>
      </w:r>
    </w:p>
    <w:p w14:paraId="2067A919" w14:textId="77777777" w:rsidR="007A3754" w:rsidRDefault="00000000">
      <w:r>
        <w:rPr>
          <w:i/>
          <w:iCs/>
          <w:color w:val="555555"/>
          <w:sz w:val="18"/>
          <w:szCs w:val="18"/>
        </w:rPr>
        <w:t xml:space="preserve">Tied to the live </w:t>
      </w:r>
      <w:proofErr w:type="spellStart"/>
      <w:r>
        <w:rPr>
          <w:i/>
          <w:iCs/>
          <w:color w:val="555555"/>
          <w:sz w:val="18"/>
          <w:szCs w:val="18"/>
        </w:rPr>
        <w:t>neurodigineration</w:t>
      </w:r>
      <w:proofErr w:type="spellEnd"/>
      <w:r>
        <w:rPr>
          <w:i/>
          <w:iCs/>
          <w:color w:val="555555"/>
          <w:sz w:val="18"/>
          <w:szCs w:val="18"/>
        </w:rPr>
        <w:t xml:space="preserve"> network (311 nodes, 474 edges) and the human-in-the-loop training panel at arminbayati.com/</w:t>
      </w:r>
      <w:proofErr w:type="spellStart"/>
      <w:r>
        <w:rPr>
          <w:i/>
          <w:iCs/>
          <w:color w:val="555555"/>
          <w:sz w:val="18"/>
          <w:szCs w:val="18"/>
        </w:rPr>
        <w:t>neurodigineration</w:t>
      </w:r>
      <w:proofErr w:type="spellEnd"/>
      <w:r>
        <w:rPr>
          <w:i/>
          <w:iCs/>
          <w:color w:val="555555"/>
          <w:sz w:val="18"/>
          <w:szCs w:val="18"/>
        </w:rPr>
        <w:t>. Edge-validation data accrues through the rate-the-edge loop.</w:t>
      </w:r>
    </w:p>
    <w:sectPr w:rsidR="007A3754">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4CFE063" w14:textId="77777777" w:rsidR="006C5468" w:rsidRDefault="006C5468">
      <w:r>
        <w:separator/>
      </w:r>
    </w:p>
  </w:endnote>
  <w:endnote w:type="continuationSeparator" w:id="0">
    <w:p w14:paraId="0C3BEC82" w14:textId="77777777" w:rsidR="006C5468" w:rsidRDefault="006C5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E4DFE78" w14:textId="77777777" w:rsidR="007A3754" w:rsidRDefault="00000000">
    <w:pPr>
      <w:jc w:val="center"/>
    </w:pPr>
    <w:proofErr w:type="spellStart"/>
    <w:r>
      <w:rPr>
        <w:color w:val="555555"/>
        <w:sz w:val="16"/>
        <w:szCs w:val="16"/>
      </w:rPr>
      <w:t>neurodigineration</w:t>
    </w:r>
    <w:proofErr w:type="spellEnd"/>
    <w:r>
      <w:rPr>
        <w:color w:val="555555"/>
        <w:sz w:val="16"/>
        <w:szCs w:val="16"/>
      </w:rPr>
      <w:t xml:space="preserve">  ·  controlled document  ·  page </w:t>
    </w:r>
    <w:r>
      <w:rPr>
        <w:color w:val="555555"/>
        <w:sz w:val="16"/>
        <w:szCs w:val="16"/>
      </w:rPr>
      <w:fldChar w:fldCharType="begin"/>
    </w:r>
    <w:r>
      <w:rPr>
        <w:color w:val="555555"/>
        <w:sz w:val="16"/>
        <w:szCs w:val="16"/>
      </w:rPr>
      <w:instrText>PAGE</w:instrText>
    </w:r>
    <w:r>
      <w:rPr>
        <w:color w:val="555555"/>
        <w:sz w:val="16"/>
        <w:szCs w:val="16"/>
      </w:rPr>
      <w:fldChar w:fldCharType="separate"/>
    </w:r>
    <w:r w:rsidR="007A56F7">
      <w:rPr>
        <w:noProof/>
        <w:color w:val="555555"/>
        <w:sz w:val="16"/>
        <w:szCs w:val="16"/>
      </w:rPr>
      <w:t>1</w:t>
    </w:r>
    <w:r>
      <w:rPr>
        <w:color w:val="555555"/>
        <w:sz w:val="16"/>
        <w:szCs w:val="16"/>
      </w:rPr>
      <w:fldChar w:fldCharType="end"/>
    </w:r>
    <w:r>
      <w:rPr>
        <w:color w:val="555555"/>
        <w:sz w:val="16"/>
        <w:szCs w:val="16"/>
      </w:rPr>
      <w:t xml:space="preserve"> of </w:t>
    </w:r>
    <w:r>
      <w:rPr>
        <w:color w:val="555555"/>
        <w:sz w:val="16"/>
        <w:szCs w:val="16"/>
      </w:rPr>
      <w:fldChar w:fldCharType="begin"/>
    </w:r>
    <w:r>
      <w:rPr>
        <w:color w:val="555555"/>
        <w:sz w:val="16"/>
        <w:szCs w:val="16"/>
      </w:rPr>
      <w:instrText>NUMPAGES</w:instrText>
    </w:r>
    <w:r>
      <w:rPr>
        <w:color w:val="555555"/>
        <w:sz w:val="16"/>
        <w:szCs w:val="16"/>
      </w:rPr>
      <w:fldChar w:fldCharType="separate"/>
    </w:r>
    <w:r w:rsidR="007A56F7">
      <w:rPr>
        <w:noProof/>
        <w:color w:val="555555"/>
        <w:sz w:val="16"/>
        <w:szCs w:val="16"/>
      </w:rPr>
      <w:t>2</w:t>
    </w:r>
    <w:r>
      <w:rPr>
        <w:color w:val="555555"/>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78CB7C1" w14:textId="77777777" w:rsidR="006C5468" w:rsidRDefault="006C5468">
      <w:r>
        <w:separator/>
      </w:r>
    </w:p>
  </w:footnote>
  <w:footnote w:type="continuationSeparator" w:id="0">
    <w:p w14:paraId="6715B818" w14:textId="77777777" w:rsidR="006C5468" w:rsidRDefault="006C5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4D6601B" w14:textId="3AF97182" w:rsidR="007A3754" w:rsidRDefault="00000000">
    <w:pPr>
      <w:pBdr>
        <w:bottom w:val="single" w:sz="4" w:space="4" w:color="C9D2DB"/>
      </w:pBdr>
      <w:tabs>
        <w:tab w:val="right" w:pos="9360"/>
      </w:tabs>
    </w:pPr>
    <w:r>
      <w:rPr>
        <w:color w:val="555555"/>
        <w:sz w:val="16"/>
        <w:szCs w:val="16"/>
      </w:rPr>
      <w:t>ND-VAL-001  ·  Validation &amp; Benchmarking Protocol</w:t>
    </w:r>
    <w:r>
      <w:rPr>
        <w:color w:val="555555"/>
        <w:sz w:val="16"/>
        <w:szCs w:val="16"/>
      </w:rPr>
      <w:tab/>
      <w:t>v1.</w:t>
    </w:r>
    <w:r w:rsidR="007A56F7">
      <w:rPr>
        <w:color w:val="555555"/>
        <w:sz w:val="16"/>
        <w:szCs w:val="1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1D17F17"/>
    <w:multiLevelType w:val="hybridMultilevel"/>
    <w:tmpl w:val="D9A4EC8A"/>
    <w:lvl w:ilvl="0" w:tplc="2F8A39FC">
      <w:start w:val="1"/>
      <w:numFmt w:val="bullet"/>
      <w:lvlText w:val="–"/>
      <w:lvlJc w:val="left"/>
      <w:pPr>
        <w:ind w:left="620" w:hanging="280"/>
      </w:pPr>
    </w:lvl>
    <w:lvl w:ilvl="1" w:tplc="CF966760">
      <w:numFmt w:val="decimal"/>
      <w:lvlText w:val=""/>
      <w:lvlJc w:val="left"/>
    </w:lvl>
    <w:lvl w:ilvl="2" w:tplc="621C47CC">
      <w:numFmt w:val="decimal"/>
      <w:lvlText w:val=""/>
      <w:lvlJc w:val="left"/>
    </w:lvl>
    <w:lvl w:ilvl="3" w:tplc="C58E62EA">
      <w:numFmt w:val="decimal"/>
      <w:lvlText w:val=""/>
      <w:lvlJc w:val="left"/>
    </w:lvl>
    <w:lvl w:ilvl="4" w:tplc="434046D8">
      <w:numFmt w:val="decimal"/>
      <w:lvlText w:val=""/>
      <w:lvlJc w:val="left"/>
    </w:lvl>
    <w:lvl w:ilvl="5" w:tplc="299A3F94">
      <w:numFmt w:val="decimal"/>
      <w:lvlText w:val=""/>
      <w:lvlJc w:val="left"/>
    </w:lvl>
    <w:lvl w:ilvl="6" w:tplc="708C2B4E">
      <w:numFmt w:val="decimal"/>
      <w:lvlText w:val=""/>
      <w:lvlJc w:val="left"/>
    </w:lvl>
    <w:lvl w:ilvl="7" w:tplc="C8F89026">
      <w:numFmt w:val="decimal"/>
      <w:lvlText w:val=""/>
      <w:lvlJc w:val="left"/>
    </w:lvl>
    <w:lvl w:ilvl="8" w:tplc="7EF052C2">
      <w:numFmt w:val="decimal"/>
      <w:lvlText w:val=""/>
      <w:lvlJc w:val="left"/>
    </w:lvl>
  </w:abstractNum>
  <w:abstractNum w:abstractNumId="1" w15:restartNumberingAfterBreak="0">
    <w:nsid w:val="569610A8"/>
    <w:multiLevelType w:val="hybridMultilevel"/>
    <w:tmpl w:val="62EA2FB2"/>
    <w:lvl w:ilvl="0" w:tplc="4E543C38">
      <w:start w:val="1"/>
      <w:numFmt w:val="bullet"/>
      <w:lvlText w:val="●"/>
      <w:lvlJc w:val="left"/>
      <w:pPr>
        <w:ind w:left="720" w:hanging="360"/>
      </w:pPr>
    </w:lvl>
    <w:lvl w:ilvl="1" w:tplc="7BD8A6E6">
      <w:start w:val="1"/>
      <w:numFmt w:val="bullet"/>
      <w:lvlText w:val="○"/>
      <w:lvlJc w:val="left"/>
      <w:pPr>
        <w:ind w:left="1440" w:hanging="360"/>
      </w:pPr>
    </w:lvl>
    <w:lvl w:ilvl="2" w:tplc="355C8E06">
      <w:start w:val="1"/>
      <w:numFmt w:val="bullet"/>
      <w:lvlText w:val="■"/>
      <w:lvlJc w:val="left"/>
      <w:pPr>
        <w:ind w:left="2160" w:hanging="360"/>
      </w:pPr>
    </w:lvl>
    <w:lvl w:ilvl="3" w:tplc="157A3334">
      <w:start w:val="1"/>
      <w:numFmt w:val="bullet"/>
      <w:lvlText w:val="●"/>
      <w:lvlJc w:val="left"/>
      <w:pPr>
        <w:ind w:left="2880" w:hanging="360"/>
      </w:pPr>
    </w:lvl>
    <w:lvl w:ilvl="4" w:tplc="B48259B4">
      <w:start w:val="1"/>
      <w:numFmt w:val="bullet"/>
      <w:lvlText w:val="○"/>
      <w:lvlJc w:val="left"/>
      <w:pPr>
        <w:ind w:left="3600" w:hanging="360"/>
      </w:pPr>
    </w:lvl>
    <w:lvl w:ilvl="5" w:tplc="A93022F2">
      <w:start w:val="1"/>
      <w:numFmt w:val="bullet"/>
      <w:lvlText w:val="■"/>
      <w:lvlJc w:val="left"/>
      <w:pPr>
        <w:ind w:left="4320" w:hanging="360"/>
      </w:pPr>
    </w:lvl>
    <w:lvl w:ilvl="6" w:tplc="FDC03E48">
      <w:start w:val="1"/>
      <w:numFmt w:val="bullet"/>
      <w:lvlText w:val="●"/>
      <w:lvlJc w:val="left"/>
      <w:pPr>
        <w:ind w:left="5040" w:hanging="360"/>
      </w:pPr>
    </w:lvl>
    <w:lvl w:ilvl="7" w:tplc="CFD48D38">
      <w:start w:val="1"/>
      <w:numFmt w:val="bullet"/>
      <w:lvlText w:val="●"/>
      <w:lvlJc w:val="left"/>
      <w:pPr>
        <w:ind w:left="5760" w:hanging="360"/>
      </w:pPr>
    </w:lvl>
    <w:lvl w:ilvl="8" w:tplc="2220694C">
      <w:start w:val="1"/>
      <w:numFmt w:val="bullet"/>
      <w:lvlText w:val="●"/>
      <w:lvlJc w:val="left"/>
      <w:pPr>
        <w:ind w:left="6480" w:hanging="360"/>
      </w:pPr>
    </w:lvl>
  </w:abstractNum>
  <w:num w:numId="1" w16cid:durableId="1103190853">
    <w:abstractNumId w:val="1"/>
    <w:lvlOverride w:ilvl="0">
      <w:startOverride w:val="1"/>
    </w:lvlOverride>
  </w:num>
  <w:num w:numId="2" w16cid:durableId="1368943956">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754"/>
    <w:rsid w:val="00452244"/>
    <w:rsid w:val="006C5468"/>
    <w:rsid w:val="007A3754"/>
    <w:rsid w:val="007A5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A99EB9"/>
  <w15:docId w15:val="{4AB07969-863F-DC49-84B8-D0A71D2C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120"/>
      <w:outlineLvl w:val="0"/>
    </w:pPr>
    <w:rPr>
      <w:b/>
      <w:bCs/>
      <w:color w:val="0B3B5A"/>
      <w:sz w:val="26"/>
      <w:szCs w:val="26"/>
    </w:rPr>
  </w:style>
  <w:style w:type="paragraph" w:styleId="Heading2">
    <w:name w:val="heading 2"/>
    <w:uiPriority w:val="9"/>
    <w:unhideWhenUsed/>
    <w:qFormat/>
    <w:pPr>
      <w:spacing w:before="200" w:after="90"/>
      <w:outlineLvl w:val="1"/>
    </w:pPr>
    <w:rPr>
      <w:b/>
      <w:bCs/>
      <w:color w:val="14202B"/>
      <w:sz w:val="22"/>
      <w:szCs w:val="22"/>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7A56F7"/>
    <w:pPr>
      <w:tabs>
        <w:tab w:val="center" w:pos="4680"/>
        <w:tab w:val="right" w:pos="9360"/>
      </w:tabs>
    </w:pPr>
  </w:style>
  <w:style w:type="character" w:customStyle="1" w:styleId="HeaderChar">
    <w:name w:val="Header Char"/>
    <w:basedOn w:val="DefaultParagraphFont"/>
    <w:link w:val="Header"/>
    <w:uiPriority w:val="99"/>
    <w:rsid w:val="007A56F7"/>
  </w:style>
  <w:style w:type="paragraph" w:styleId="Footer">
    <w:name w:val="footer"/>
    <w:basedOn w:val="Normal"/>
    <w:link w:val="FooterChar"/>
    <w:uiPriority w:val="99"/>
    <w:unhideWhenUsed/>
    <w:rsid w:val="007A56F7"/>
    <w:pPr>
      <w:tabs>
        <w:tab w:val="center" w:pos="4680"/>
        <w:tab w:val="right" w:pos="9360"/>
      </w:tabs>
    </w:pPr>
  </w:style>
  <w:style w:type="character" w:customStyle="1" w:styleId="FooterChar">
    <w:name w:val="Footer Char"/>
    <w:basedOn w:val="DefaultParagraphFont"/>
    <w:link w:val="Footer"/>
    <w:uiPriority w:val="99"/>
    <w:rsid w:val="007A5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1938</Words>
  <Characters>11169</Characters>
  <Application>Microsoft Office Word</Application>
  <DocSecurity>0</DocSecurity>
  <Lines>232</Lines>
  <Paragraphs>168</Paragraphs>
  <ScaleCrop>false</ScaleCrop>
  <Company/>
  <LinksUpToDate>false</LinksUpToDate>
  <CharactersWithSpaces>12939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neurodigineration — Validation &amp; Benchmarking Protocol (ND-VAL-001)</dc:title>
  <dc:creator>Armin Bayati</dc:creator>
  <cp:lastModifiedBy>Armin Bayati</cp:lastModifiedBy>
  <cp:revision>2</cp:revision>
  <dcterms:created xsi:type="dcterms:W3CDTF">2026-06-25T15:15:00Z</dcterms:created>
  <dcterms:modified xsi:type="dcterms:W3CDTF">2026-06-25T15:21:00Z</dcterms:modified>
</cp:coreProperties>
</file>